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spacing w:before="312" w:afterLines="0"/>
      </w:pPr>
      <w:bookmarkStart w:id="0" w:name="_Toc14629"/>
      <w:r>
        <w:rPr>
          <w:rFonts w:hint="eastAsia"/>
        </w:rPr>
        <w:t>浙江农林大学马克思主义学院</w:t>
      </w:r>
      <w:bookmarkEnd w:id="0"/>
    </w:p>
    <w:p>
      <w:pPr>
        <w:pStyle w:val="2"/>
        <w:spacing w:beforeLines="0" w:after="156"/>
      </w:pPr>
      <w:bookmarkStart w:id="1" w:name="_Toc10276"/>
      <w:r>
        <w:rPr>
          <w:rFonts w:hint="eastAsia"/>
        </w:rPr>
        <w:t>“十三五”发展规划</w:t>
      </w:r>
      <w:bookmarkEnd w:id="1"/>
    </w:p>
    <w:p>
      <w:pPr>
        <w:pStyle w:val="18"/>
        <w:adjustRightInd w:val="0"/>
        <w:snapToGrid w:val="0"/>
        <w:spacing w:before="0" w:beforeAutospacing="0" w:after="0" w:afterAutospacing="0" w:line="560" w:lineRule="exact"/>
        <w:ind w:firstLine="0" w:firstLineChars="0"/>
        <w:jc w:val="center"/>
        <w:rPr>
          <w:rFonts w:ascii="仿宋" w:hAnsi="仿宋" w:eastAsia="仿宋"/>
          <w:color w:val="000000"/>
          <w:sz w:val="32"/>
          <w:szCs w:val="32"/>
        </w:rPr>
      </w:pPr>
      <w:r>
        <w:rPr>
          <w:rFonts w:hint="eastAsia" w:ascii="仿宋" w:hAnsi="仿宋" w:eastAsia="仿宋"/>
          <w:b/>
          <w:color w:val="000000"/>
          <w:sz w:val="32"/>
          <w:szCs w:val="32"/>
        </w:rPr>
        <w:t>（</w:t>
      </w:r>
      <w:r>
        <w:rPr>
          <w:rFonts w:ascii="仿宋" w:hAnsi="仿宋" w:eastAsia="仿宋"/>
          <w:b/>
          <w:color w:val="000000"/>
          <w:sz w:val="32"/>
          <w:szCs w:val="32"/>
        </w:rPr>
        <w:t>2016-2020</w:t>
      </w:r>
      <w:r>
        <w:rPr>
          <w:rFonts w:hint="eastAsia" w:ascii="仿宋" w:hAnsi="仿宋" w:eastAsia="仿宋"/>
          <w:b/>
          <w:color w:val="000000"/>
          <w:sz w:val="32"/>
          <w:szCs w:val="32"/>
        </w:rPr>
        <w:t>年）</w:t>
      </w:r>
    </w:p>
    <w:p>
      <w:pPr>
        <w:adjustRightInd w:val="0"/>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马克思主义学院成立于</w:t>
      </w:r>
      <w:r>
        <w:rPr>
          <w:rFonts w:ascii="仿宋" w:hAnsi="仿宋" w:eastAsia="仿宋"/>
          <w:color w:val="000000"/>
          <w:sz w:val="28"/>
          <w:szCs w:val="28"/>
        </w:rPr>
        <w:t>2011</w:t>
      </w:r>
      <w:r>
        <w:rPr>
          <w:rFonts w:hint="eastAsia" w:ascii="仿宋" w:hAnsi="仿宋" w:eastAsia="仿宋"/>
          <w:color w:val="000000"/>
          <w:sz w:val="28"/>
          <w:szCs w:val="28"/>
        </w:rPr>
        <w:t>年，经过“十二五”时期的改革创新，学院的各项事业得到快速发展。为进一步明确发展目标，理清发展思路，更好地发挥学院在培养中国特色社会主义事业合格建设者和可靠接班人中的作用，根据《浙江农林大学“十三五”规划纲要》，结合学院实际，制定马克思主义学院“十三五”发展规划。</w:t>
      </w:r>
    </w:p>
    <w:p>
      <w:pPr>
        <w:widowControl/>
        <w:adjustRightInd w:val="0"/>
        <w:snapToGrid w:val="0"/>
        <w:rPr>
          <w:rFonts w:ascii="仿宋" w:hAnsi="仿宋" w:eastAsia="仿宋"/>
          <w:color w:val="000000"/>
          <w:sz w:val="28"/>
          <w:szCs w:val="28"/>
        </w:rPr>
      </w:pPr>
    </w:p>
    <w:p>
      <w:pPr>
        <w:pStyle w:val="3"/>
        <w:adjustRightInd w:val="0"/>
        <w:snapToGrid w:val="0"/>
        <w:spacing w:after="0" w:line="240" w:lineRule="auto"/>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一、“十二五”时期学院发展的主要情况</w:t>
      </w:r>
    </w:p>
    <w:p>
      <w:pPr>
        <w:pStyle w:val="3"/>
        <w:adjustRightInd w:val="0"/>
        <w:snapToGrid w:val="0"/>
        <w:spacing w:after="0"/>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（一）取得的成效</w:t>
      </w:r>
    </w:p>
    <w:p>
      <w:pPr>
        <w:pStyle w:val="3"/>
        <w:adjustRightInd w:val="0"/>
        <w:snapToGrid w:val="0"/>
        <w:spacing w:after="0"/>
        <w:ind w:firstLine="560" w:firstLineChars="200"/>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教学中心地位不断强化。学院始终把工作中心放在思想政治理论课教学上，不断强化立德树人意识，积极探索和深化教学改革。“十二五”期间，学院制定实施思政课“四进三联”和“多层次多功能实践教学体系”教学改革方案，提升思政理论课教学实效性。获得省、校教学成果二等奖各</w:t>
      </w:r>
      <w:r>
        <w:rPr>
          <w:rFonts w:ascii="仿宋" w:hAnsi="仿宋" w:eastAsia="仿宋"/>
          <w:color w:val="000000"/>
          <w:sz w:val="28"/>
          <w:szCs w:val="28"/>
        </w:rPr>
        <w:t>1</w:t>
      </w:r>
      <w:r>
        <w:rPr>
          <w:rFonts w:hint="eastAsia" w:ascii="仿宋" w:hAnsi="仿宋" w:eastAsia="仿宋"/>
          <w:color w:val="000000"/>
          <w:sz w:val="28"/>
          <w:szCs w:val="28"/>
        </w:rPr>
        <w:t>项，多名教师在长三角、浙江省思政课教学比赛中获得佳绩。</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科研整体实力不断提升。学院把科学研究作为提升学科建设水平与人才培养质量的基础，通过举办学术沙龙、课题申报辅导等，营造学术氛围，提高教师科研能力和科研水平。“十二五”期间，学院承担国家级、省部级课题</w:t>
      </w:r>
      <w:r>
        <w:rPr>
          <w:rFonts w:ascii="仿宋" w:hAnsi="仿宋" w:eastAsia="仿宋"/>
          <w:color w:val="000000"/>
          <w:sz w:val="28"/>
          <w:szCs w:val="28"/>
        </w:rPr>
        <w:t xml:space="preserve"> 20 </w:t>
      </w:r>
      <w:r>
        <w:rPr>
          <w:rFonts w:hint="eastAsia" w:ascii="仿宋" w:hAnsi="仿宋" w:eastAsia="仿宋"/>
          <w:color w:val="000000"/>
          <w:sz w:val="28"/>
          <w:szCs w:val="28"/>
        </w:rPr>
        <w:t>余项，厅局级课题</w:t>
      </w:r>
      <w:r>
        <w:rPr>
          <w:rFonts w:ascii="仿宋" w:hAnsi="仿宋" w:eastAsia="仿宋"/>
          <w:color w:val="000000"/>
          <w:sz w:val="28"/>
          <w:szCs w:val="28"/>
        </w:rPr>
        <w:t xml:space="preserve"> 50 </w:t>
      </w:r>
      <w:r>
        <w:rPr>
          <w:rFonts w:hint="eastAsia" w:ascii="仿宋" w:hAnsi="仿宋" w:eastAsia="仿宋"/>
          <w:color w:val="000000"/>
          <w:sz w:val="28"/>
          <w:szCs w:val="28"/>
        </w:rPr>
        <w:t>余项；获省部级科研成果奖</w:t>
      </w:r>
      <w:r>
        <w:rPr>
          <w:rFonts w:ascii="仿宋" w:hAnsi="仿宋" w:eastAsia="仿宋"/>
          <w:color w:val="000000"/>
          <w:sz w:val="28"/>
          <w:szCs w:val="28"/>
        </w:rPr>
        <w:t>1</w:t>
      </w:r>
      <w:r>
        <w:rPr>
          <w:rFonts w:hint="eastAsia" w:ascii="仿宋" w:hAnsi="仿宋" w:eastAsia="仿宋"/>
          <w:color w:val="000000"/>
          <w:sz w:val="28"/>
          <w:szCs w:val="28"/>
        </w:rPr>
        <w:t>项；在中文核心期刊发表学术论文</w:t>
      </w:r>
      <w:r>
        <w:rPr>
          <w:rFonts w:ascii="仿宋" w:hAnsi="仿宋" w:eastAsia="仿宋"/>
          <w:color w:val="000000"/>
          <w:sz w:val="28"/>
          <w:szCs w:val="28"/>
        </w:rPr>
        <w:t xml:space="preserve"> 60 </w:t>
      </w:r>
      <w:r>
        <w:rPr>
          <w:rFonts w:hint="eastAsia" w:ascii="仿宋" w:hAnsi="仿宋" w:eastAsia="仿宋"/>
          <w:color w:val="000000"/>
          <w:sz w:val="28"/>
          <w:szCs w:val="28"/>
        </w:rPr>
        <w:t>多篇，部分文章被《新华文摘》、《人大复印资料》转载；出版学术专著</w:t>
      </w:r>
      <w:r>
        <w:rPr>
          <w:rFonts w:ascii="仿宋" w:hAnsi="仿宋" w:eastAsia="仿宋"/>
          <w:color w:val="000000"/>
          <w:sz w:val="28"/>
          <w:szCs w:val="28"/>
        </w:rPr>
        <w:t xml:space="preserve"> 12 </w:t>
      </w:r>
      <w:r>
        <w:rPr>
          <w:rFonts w:hint="eastAsia" w:ascii="仿宋" w:hAnsi="仿宋" w:eastAsia="仿宋"/>
          <w:color w:val="000000"/>
          <w:sz w:val="28"/>
          <w:szCs w:val="28"/>
        </w:rPr>
        <w:t>部。</w:t>
      </w:r>
    </w:p>
    <w:p>
      <w:pPr>
        <w:adjustRightInd w:val="0"/>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学院把提升科研整体实力与提高研究生培养质量紧密结合。现已培养马克思主义中国化研究硕士生</w:t>
      </w:r>
      <w:r>
        <w:rPr>
          <w:rFonts w:ascii="仿宋" w:hAnsi="仿宋" w:eastAsia="仿宋"/>
          <w:color w:val="000000"/>
          <w:sz w:val="28"/>
          <w:szCs w:val="28"/>
        </w:rPr>
        <w:t>120</w:t>
      </w:r>
      <w:r>
        <w:rPr>
          <w:rFonts w:hint="eastAsia" w:ascii="仿宋" w:hAnsi="仿宋" w:eastAsia="仿宋"/>
          <w:color w:val="000000"/>
          <w:sz w:val="28"/>
          <w:szCs w:val="28"/>
        </w:rPr>
        <w:t>余名，有</w:t>
      </w:r>
      <w:r>
        <w:rPr>
          <w:rFonts w:ascii="仿宋" w:hAnsi="仿宋" w:eastAsia="仿宋"/>
          <w:color w:val="000000"/>
          <w:sz w:val="28"/>
          <w:szCs w:val="28"/>
        </w:rPr>
        <w:t>7</w:t>
      </w:r>
      <w:r>
        <w:rPr>
          <w:rFonts w:hint="eastAsia" w:ascii="仿宋" w:hAnsi="仿宋" w:eastAsia="仿宋"/>
          <w:color w:val="000000"/>
          <w:sz w:val="28"/>
          <w:szCs w:val="28"/>
        </w:rPr>
        <w:t>届近</w:t>
      </w:r>
      <w:r>
        <w:rPr>
          <w:rFonts w:ascii="仿宋" w:hAnsi="仿宋" w:eastAsia="仿宋"/>
          <w:color w:val="000000"/>
          <w:sz w:val="28"/>
          <w:szCs w:val="28"/>
        </w:rPr>
        <w:t>100</w:t>
      </w:r>
      <w:r>
        <w:rPr>
          <w:rFonts w:hint="eastAsia" w:ascii="仿宋" w:hAnsi="仿宋" w:eastAsia="仿宋"/>
          <w:color w:val="000000"/>
          <w:sz w:val="28"/>
          <w:szCs w:val="28"/>
        </w:rPr>
        <w:t>名学生顺利毕业并授予硕士学位。毕业研究生中，获省级优秀毕业生</w:t>
      </w:r>
      <w:r>
        <w:rPr>
          <w:rFonts w:ascii="仿宋" w:hAnsi="仿宋" w:eastAsia="仿宋"/>
          <w:color w:val="000000"/>
          <w:sz w:val="28"/>
          <w:szCs w:val="28"/>
        </w:rPr>
        <w:t>2</w:t>
      </w:r>
      <w:r>
        <w:rPr>
          <w:rFonts w:hint="eastAsia" w:ascii="仿宋" w:hAnsi="仿宋" w:eastAsia="仿宋"/>
          <w:color w:val="000000"/>
          <w:sz w:val="28"/>
          <w:szCs w:val="28"/>
        </w:rPr>
        <w:t>人，浙江省研究生创新科研项目、浙江省“新苗人才计划”资助各</w:t>
      </w:r>
      <w:r>
        <w:rPr>
          <w:rFonts w:ascii="仿宋" w:hAnsi="仿宋" w:eastAsia="仿宋"/>
          <w:color w:val="000000"/>
          <w:sz w:val="28"/>
          <w:szCs w:val="28"/>
        </w:rPr>
        <w:t>1</w:t>
      </w:r>
      <w:r>
        <w:rPr>
          <w:rFonts w:hint="eastAsia" w:ascii="仿宋" w:hAnsi="仿宋" w:eastAsia="仿宋"/>
          <w:color w:val="000000"/>
          <w:sz w:val="28"/>
          <w:szCs w:val="28"/>
        </w:rPr>
        <w:t>人，</w:t>
      </w:r>
      <w:r>
        <w:rPr>
          <w:rFonts w:ascii="仿宋" w:hAnsi="仿宋" w:eastAsia="仿宋"/>
          <w:color w:val="000000"/>
          <w:sz w:val="28"/>
          <w:szCs w:val="28"/>
        </w:rPr>
        <w:t>1</w:t>
      </w:r>
      <w:r>
        <w:rPr>
          <w:rFonts w:hint="eastAsia" w:ascii="仿宋" w:hAnsi="仿宋" w:eastAsia="仿宋"/>
          <w:color w:val="000000"/>
          <w:sz w:val="28"/>
          <w:szCs w:val="28"/>
        </w:rPr>
        <w:t>人获校优秀硕士毕业论文，</w:t>
      </w:r>
      <w:r>
        <w:rPr>
          <w:rFonts w:ascii="仿宋" w:hAnsi="仿宋" w:eastAsia="仿宋"/>
          <w:color w:val="000000"/>
          <w:sz w:val="28"/>
          <w:szCs w:val="28"/>
        </w:rPr>
        <w:t>2</w:t>
      </w:r>
      <w:r>
        <w:rPr>
          <w:rFonts w:hint="eastAsia" w:ascii="仿宋" w:hAnsi="仿宋" w:eastAsia="仿宋"/>
          <w:color w:val="000000"/>
          <w:sz w:val="28"/>
          <w:szCs w:val="28"/>
        </w:rPr>
        <w:t>人考取博士，发表学术论文</w:t>
      </w:r>
      <w:r>
        <w:rPr>
          <w:rFonts w:ascii="仿宋" w:hAnsi="仿宋" w:eastAsia="仿宋"/>
          <w:color w:val="000000"/>
          <w:sz w:val="28"/>
          <w:szCs w:val="28"/>
        </w:rPr>
        <w:t>130</w:t>
      </w:r>
      <w:r>
        <w:rPr>
          <w:rFonts w:hint="eastAsia" w:ascii="仿宋" w:hAnsi="仿宋" w:eastAsia="仿宋"/>
          <w:color w:val="000000"/>
          <w:sz w:val="28"/>
          <w:szCs w:val="28"/>
        </w:rPr>
        <w:t>余篇。</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、师资队伍结构不断优化。学院坚持培养与引进并重，不断优化师资队伍结构。“十二五”期间，学院引进教师</w:t>
      </w:r>
      <w:r>
        <w:rPr>
          <w:rFonts w:ascii="仿宋" w:hAnsi="仿宋" w:eastAsia="仿宋"/>
          <w:color w:val="000000"/>
          <w:sz w:val="28"/>
          <w:szCs w:val="28"/>
        </w:rPr>
        <w:t>9</w:t>
      </w:r>
      <w:r>
        <w:rPr>
          <w:rFonts w:hint="eastAsia" w:ascii="仿宋" w:hAnsi="仿宋" w:eastAsia="仿宋"/>
          <w:color w:val="000000"/>
          <w:sz w:val="28"/>
          <w:szCs w:val="28"/>
        </w:rPr>
        <w:t>人，其中博士</w:t>
      </w:r>
      <w:r>
        <w:rPr>
          <w:rFonts w:ascii="仿宋" w:hAnsi="仿宋" w:eastAsia="仿宋"/>
          <w:color w:val="000000"/>
          <w:sz w:val="28"/>
          <w:szCs w:val="28"/>
        </w:rPr>
        <w:t>7</w:t>
      </w:r>
      <w:r>
        <w:rPr>
          <w:rFonts w:hint="eastAsia" w:ascii="仿宋" w:hAnsi="仿宋" w:eastAsia="仿宋"/>
          <w:color w:val="000000"/>
          <w:sz w:val="28"/>
          <w:szCs w:val="28"/>
        </w:rPr>
        <w:t>人；骨干教师培训</w:t>
      </w:r>
      <w:r>
        <w:rPr>
          <w:rFonts w:ascii="仿宋" w:hAnsi="仿宋" w:eastAsia="仿宋"/>
          <w:color w:val="000000"/>
          <w:sz w:val="28"/>
          <w:szCs w:val="28"/>
        </w:rPr>
        <w:t>6</w:t>
      </w:r>
      <w:r>
        <w:rPr>
          <w:rFonts w:hint="eastAsia" w:ascii="仿宋" w:hAnsi="仿宋" w:eastAsia="仿宋"/>
          <w:color w:val="000000"/>
          <w:sz w:val="28"/>
          <w:szCs w:val="28"/>
        </w:rPr>
        <w:t>人；基层锻炼</w:t>
      </w:r>
      <w:r>
        <w:rPr>
          <w:rFonts w:ascii="仿宋" w:hAnsi="仿宋" w:eastAsia="仿宋"/>
          <w:color w:val="000000"/>
          <w:sz w:val="28"/>
          <w:szCs w:val="28"/>
        </w:rPr>
        <w:t>3</w:t>
      </w:r>
      <w:r>
        <w:rPr>
          <w:rFonts w:hint="eastAsia" w:ascii="仿宋" w:hAnsi="仿宋" w:eastAsia="仿宋"/>
          <w:color w:val="000000"/>
          <w:sz w:val="28"/>
          <w:szCs w:val="28"/>
        </w:rPr>
        <w:t>人；外出高访</w:t>
      </w:r>
      <w:r>
        <w:rPr>
          <w:rFonts w:ascii="仿宋" w:hAnsi="仿宋" w:eastAsia="仿宋"/>
          <w:color w:val="000000"/>
          <w:sz w:val="28"/>
          <w:szCs w:val="28"/>
        </w:rPr>
        <w:t>1</w:t>
      </w:r>
      <w:r>
        <w:rPr>
          <w:rFonts w:hint="eastAsia" w:ascii="仿宋" w:hAnsi="仿宋" w:eastAsia="仿宋"/>
          <w:color w:val="000000"/>
          <w:sz w:val="28"/>
          <w:szCs w:val="28"/>
        </w:rPr>
        <w:t>人；攻读博士后</w:t>
      </w:r>
      <w:r>
        <w:rPr>
          <w:rFonts w:ascii="仿宋" w:hAnsi="仿宋" w:eastAsia="仿宋"/>
          <w:color w:val="000000"/>
          <w:sz w:val="28"/>
          <w:szCs w:val="28"/>
        </w:rPr>
        <w:t>2</w:t>
      </w:r>
      <w:r>
        <w:rPr>
          <w:rFonts w:hint="eastAsia" w:ascii="仿宋" w:hAnsi="仿宋" w:eastAsia="仿宋"/>
          <w:color w:val="000000"/>
          <w:sz w:val="28"/>
          <w:szCs w:val="28"/>
        </w:rPr>
        <w:t>人；职称晋升</w:t>
      </w:r>
      <w:r>
        <w:rPr>
          <w:rFonts w:ascii="仿宋" w:hAnsi="仿宋" w:eastAsia="仿宋"/>
          <w:color w:val="000000"/>
          <w:sz w:val="28"/>
          <w:szCs w:val="28"/>
        </w:rPr>
        <w:t>4</w:t>
      </w:r>
      <w:r>
        <w:rPr>
          <w:rFonts w:hint="eastAsia" w:ascii="仿宋" w:hAnsi="仿宋" w:eastAsia="仿宋"/>
          <w:color w:val="000000"/>
          <w:sz w:val="28"/>
          <w:szCs w:val="28"/>
        </w:rPr>
        <w:t>人。现有</w:t>
      </w:r>
      <w:r>
        <w:rPr>
          <w:rFonts w:ascii="仿宋" w:hAnsi="仿宋" w:eastAsia="仿宋"/>
          <w:color w:val="000000"/>
          <w:sz w:val="28"/>
          <w:szCs w:val="28"/>
        </w:rPr>
        <w:t>19</w:t>
      </w:r>
      <w:r>
        <w:rPr>
          <w:rFonts w:hint="eastAsia" w:ascii="仿宋" w:hAnsi="仿宋" w:eastAsia="仿宋"/>
          <w:color w:val="000000"/>
          <w:sz w:val="28"/>
          <w:szCs w:val="28"/>
        </w:rPr>
        <w:t>名专任教师，其中教授</w:t>
      </w:r>
      <w:r>
        <w:rPr>
          <w:rFonts w:ascii="仿宋" w:hAnsi="仿宋" w:eastAsia="仿宋"/>
          <w:color w:val="000000"/>
          <w:sz w:val="28"/>
          <w:szCs w:val="28"/>
        </w:rPr>
        <w:t>3</w:t>
      </w:r>
      <w:r>
        <w:rPr>
          <w:rFonts w:hint="eastAsia" w:ascii="仿宋" w:hAnsi="仿宋" w:eastAsia="仿宋"/>
          <w:color w:val="000000"/>
          <w:sz w:val="28"/>
          <w:szCs w:val="28"/>
        </w:rPr>
        <w:t>人，副教授</w:t>
      </w:r>
      <w:r>
        <w:rPr>
          <w:rFonts w:ascii="仿宋" w:hAnsi="仿宋" w:eastAsia="仿宋"/>
          <w:color w:val="000000"/>
          <w:sz w:val="28"/>
          <w:szCs w:val="28"/>
        </w:rPr>
        <w:t>7</w:t>
      </w:r>
      <w:r>
        <w:rPr>
          <w:rFonts w:hint="eastAsia" w:ascii="仿宋" w:hAnsi="仿宋" w:eastAsia="仿宋"/>
          <w:color w:val="000000"/>
          <w:sz w:val="28"/>
          <w:szCs w:val="28"/>
        </w:rPr>
        <w:t>人，讲师</w:t>
      </w:r>
      <w:r>
        <w:rPr>
          <w:rFonts w:ascii="仿宋" w:hAnsi="仿宋" w:eastAsia="仿宋"/>
          <w:color w:val="000000"/>
          <w:sz w:val="28"/>
          <w:szCs w:val="28"/>
        </w:rPr>
        <w:t>9</w:t>
      </w:r>
      <w:r>
        <w:rPr>
          <w:rFonts w:hint="eastAsia" w:ascii="仿宋" w:hAnsi="仿宋" w:eastAsia="仿宋"/>
          <w:color w:val="000000"/>
          <w:sz w:val="28"/>
          <w:szCs w:val="28"/>
        </w:rPr>
        <w:t>人，高级职称占比超过</w:t>
      </w:r>
      <w:r>
        <w:rPr>
          <w:rFonts w:ascii="仿宋" w:hAnsi="仿宋" w:eastAsia="仿宋"/>
          <w:color w:val="000000"/>
          <w:sz w:val="28"/>
          <w:szCs w:val="28"/>
        </w:rPr>
        <w:t>50%</w:t>
      </w:r>
      <w:r>
        <w:rPr>
          <w:rFonts w:hint="eastAsia" w:ascii="仿宋" w:hAnsi="仿宋" w:eastAsia="仿宋"/>
          <w:color w:val="000000"/>
          <w:sz w:val="28"/>
          <w:szCs w:val="28"/>
        </w:rPr>
        <w:t>。博士</w:t>
      </w:r>
      <w:r>
        <w:rPr>
          <w:rFonts w:ascii="仿宋" w:hAnsi="仿宋" w:eastAsia="仿宋"/>
          <w:color w:val="000000"/>
          <w:sz w:val="28"/>
          <w:szCs w:val="28"/>
        </w:rPr>
        <w:t>9</w:t>
      </w:r>
      <w:r>
        <w:rPr>
          <w:rFonts w:hint="eastAsia" w:ascii="仿宋" w:hAnsi="仿宋" w:eastAsia="仿宋"/>
          <w:color w:val="000000"/>
          <w:sz w:val="28"/>
          <w:szCs w:val="28"/>
        </w:rPr>
        <w:t>人，占比近</w:t>
      </w:r>
      <w:r>
        <w:rPr>
          <w:rFonts w:ascii="仿宋" w:hAnsi="仿宋" w:eastAsia="仿宋"/>
          <w:color w:val="000000"/>
          <w:sz w:val="28"/>
          <w:szCs w:val="28"/>
        </w:rPr>
        <w:t>50%</w:t>
      </w:r>
      <w:r>
        <w:rPr>
          <w:rFonts w:hint="eastAsia" w:ascii="仿宋" w:hAnsi="仿宋" w:eastAsia="仿宋"/>
          <w:color w:val="000000"/>
          <w:sz w:val="28"/>
          <w:szCs w:val="28"/>
        </w:rPr>
        <w:t>。有全国优秀教师和全国思政课优秀教师</w:t>
      </w:r>
      <w:r>
        <w:rPr>
          <w:rFonts w:ascii="仿宋" w:hAnsi="仿宋" w:eastAsia="仿宋"/>
          <w:color w:val="000000"/>
          <w:sz w:val="28"/>
          <w:szCs w:val="28"/>
        </w:rPr>
        <w:t>1</w:t>
      </w:r>
      <w:r>
        <w:rPr>
          <w:rFonts w:hint="eastAsia" w:ascii="仿宋" w:hAnsi="仿宋" w:eastAsia="仿宋"/>
          <w:color w:val="000000"/>
          <w:sz w:val="28"/>
          <w:szCs w:val="28"/>
        </w:rPr>
        <w:t>人，浙江省思政课教指委委员和省研究生思政课教学研究会副会长各</w:t>
      </w:r>
      <w:r>
        <w:rPr>
          <w:rFonts w:ascii="仿宋" w:hAnsi="仿宋" w:eastAsia="仿宋"/>
          <w:color w:val="000000"/>
          <w:sz w:val="28"/>
          <w:szCs w:val="28"/>
        </w:rPr>
        <w:t>1</w:t>
      </w:r>
      <w:r>
        <w:rPr>
          <w:rFonts w:hint="eastAsia" w:ascii="仿宋" w:hAnsi="仿宋" w:eastAsia="仿宋"/>
          <w:color w:val="000000"/>
          <w:sz w:val="28"/>
          <w:szCs w:val="28"/>
        </w:rPr>
        <w:t>人。学院聘任多名知名学者担任专家指导委员会委员。</w:t>
      </w:r>
    </w:p>
    <w:p>
      <w:pPr>
        <w:adjustRightInd w:val="0"/>
        <w:snapToGrid w:val="0"/>
        <w:spacing w:line="560" w:lineRule="exact"/>
        <w:ind w:firstLine="560" w:firstLineChars="200"/>
        <w:rPr>
          <w:rFonts w:ascii="仿宋" w:hAnsi="仿宋" w:eastAsia="仿宋"/>
          <w:b/>
          <w:sz w:val="28"/>
          <w:szCs w:val="28"/>
        </w:rPr>
      </w:pPr>
      <w:r>
        <w:rPr>
          <w:rFonts w:ascii="仿宋" w:hAnsi="仿宋" w:eastAsia="仿宋"/>
          <w:color w:val="000000"/>
          <w:sz w:val="28"/>
          <w:szCs w:val="28"/>
        </w:rPr>
        <w:t>4</w:t>
      </w:r>
      <w:r>
        <w:rPr>
          <w:rFonts w:hint="eastAsia" w:ascii="仿宋" w:hAnsi="仿宋" w:eastAsia="仿宋"/>
          <w:color w:val="000000"/>
          <w:sz w:val="28"/>
          <w:szCs w:val="28"/>
        </w:rPr>
        <w:t>、学科优势与特色逐渐彰显。学院注重马克思主义理论学科特色发展，</w:t>
      </w:r>
      <w:r>
        <w:rPr>
          <w:rFonts w:hint="eastAsia" w:ascii="仿宋" w:hAnsi="仿宋" w:eastAsia="仿宋"/>
          <w:sz w:val="28"/>
          <w:szCs w:val="28"/>
        </w:rPr>
        <w:t>瞄准学校重点领域发展战略，以浙江省哲学社会科学重点研究基地（浙江省农民发展研究中心）和浙江省生态文化研究中心为平台，把马克思主义“三农”理论与实践、</w:t>
      </w:r>
      <w:r>
        <w:rPr>
          <w:rFonts w:hint="eastAsia" w:ascii="仿宋" w:hAnsi="仿宋" w:eastAsia="仿宋"/>
          <w:color w:val="000000"/>
          <w:sz w:val="28"/>
          <w:szCs w:val="28"/>
        </w:rPr>
        <w:t>生态文明理论与实践</w:t>
      </w:r>
      <w:r>
        <w:rPr>
          <w:rFonts w:hint="eastAsia" w:ascii="仿宋" w:hAnsi="仿宋" w:eastAsia="仿宋"/>
          <w:sz w:val="28"/>
          <w:szCs w:val="28"/>
        </w:rPr>
        <w:t>作为主攻方向，形成了稳定的研究队伍和一批研究成果。</w:t>
      </w:r>
      <w:r>
        <w:rPr>
          <w:rFonts w:hint="eastAsia" w:ascii="仿宋" w:hAnsi="仿宋" w:eastAsia="仿宋"/>
          <w:color w:val="000000"/>
          <w:sz w:val="28"/>
          <w:szCs w:val="28"/>
        </w:rPr>
        <w:t>在马克思主义中国化研究硕士点建设的基础上，积极推进马克思主义基本原理、中国近现代史基本问题和思想政治教育三个研究方向的发展，形成一定的优势与特色。教育部</w:t>
      </w:r>
      <w:r>
        <w:rPr>
          <w:rFonts w:ascii="仿宋" w:hAnsi="仿宋" w:eastAsia="仿宋"/>
          <w:color w:val="000000"/>
          <w:sz w:val="28"/>
          <w:szCs w:val="28"/>
        </w:rPr>
        <w:t>2012</w:t>
      </w:r>
      <w:r>
        <w:rPr>
          <w:rFonts w:hint="eastAsia" w:ascii="仿宋" w:hAnsi="仿宋" w:eastAsia="仿宋"/>
          <w:color w:val="000000"/>
          <w:sz w:val="28"/>
          <w:szCs w:val="28"/>
        </w:rPr>
        <w:t>年第三轮学科评估结果显示，我校马克思主义理论学科处于中等水平。</w:t>
      </w:r>
    </w:p>
    <w:p>
      <w:pPr>
        <w:autoSpaceDE w:val="0"/>
        <w:autoSpaceDN w:val="0"/>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社会服务能力与贡献不断增强。学院注重发挥优势，积极服务地方，为党政部门、企事业单位开展各类培训、讲座活动，参与地方决策咨询及应用对策研究。“十二五”时期，学院组织教师参与浙江省重大项目千村故事“五个一行动”计划、农村文化礼堂建设试点工作、大学生村官业务培训、家风家训宣讲和乡村生态文明建设、十八大精神宣讲、“浙江在线”网络访谈、浙江电视台党建节目嘉宾点评等各类社会服务工作，有教师获得浙江省“优秀宣讲员”荣誉称号。</w:t>
      </w:r>
    </w:p>
    <w:p>
      <w:pPr>
        <w:pStyle w:val="3"/>
        <w:adjustRightInd w:val="0"/>
        <w:snapToGrid w:val="0"/>
        <w:spacing w:after="0"/>
        <w:ind w:firstLine="551" w:firstLineChars="196"/>
        <w:rPr>
          <w:rFonts w:ascii="仿宋" w:hAnsi="仿宋" w:eastAsia="仿宋"/>
          <w:b/>
          <w:color w:val="000000"/>
          <w:sz w:val="28"/>
          <w:szCs w:val="28"/>
        </w:rPr>
      </w:pPr>
      <w:r>
        <w:rPr>
          <w:rFonts w:hint="eastAsia" w:ascii="仿宋" w:hAnsi="仿宋" w:eastAsia="仿宋"/>
          <w:b/>
          <w:color w:val="000000"/>
          <w:sz w:val="28"/>
          <w:szCs w:val="28"/>
        </w:rPr>
        <w:t>（二）存在的问题</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、学院建设规划思路亟待明确。</w:t>
      </w:r>
      <w:r>
        <w:rPr>
          <w:rFonts w:ascii="仿宋" w:hAnsi="仿宋" w:eastAsia="仿宋"/>
          <w:color w:val="000000"/>
          <w:sz w:val="28"/>
          <w:szCs w:val="28"/>
        </w:rPr>
        <w:t>2016</w:t>
      </w:r>
      <w:r>
        <w:rPr>
          <w:rFonts w:hint="eastAsia" w:ascii="仿宋" w:hAnsi="仿宋" w:eastAsia="仿宋"/>
          <w:color w:val="000000"/>
          <w:sz w:val="28"/>
          <w:szCs w:val="28"/>
        </w:rPr>
        <w:t>年</w:t>
      </w:r>
      <w:r>
        <w:rPr>
          <w:rFonts w:ascii="仿宋" w:hAnsi="仿宋" w:eastAsia="仿宋"/>
          <w:color w:val="000000"/>
          <w:sz w:val="28"/>
          <w:szCs w:val="28"/>
        </w:rPr>
        <w:t>6</w:t>
      </w:r>
      <w:r>
        <w:rPr>
          <w:rFonts w:hint="eastAsia" w:ascii="仿宋" w:hAnsi="仿宋" w:eastAsia="仿宋"/>
          <w:color w:val="000000"/>
          <w:sz w:val="28"/>
          <w:szCs w:val="28"/>
        </w:rPr>
        <w:t>月独立建院，按照《高等学校马克思主义学院建设标准》的要求，需要尽快理清学院发展思路，整合全校资源，实现马克思主义学院可持续协调发展。</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、队伍建设亟待加强。按照教育部《高等学校思想政治理论课建设标准》（教社科</w:t>
      </w:r>
      <w:r>
        <w:rPr>
          <w:rFonts w:ascii="仿宋" w:hAnsi="仿宋" w:eastAsia="仿宋"/>
          <w:color w:val="000000"/>
          <w:sz w:val="28"/>
          <w:szCs w:val="28"/>
        </w:rPr>
        <w:t>[2015]3</w:t>
      </w:r>
      <w:r>
        <w:rPr>
          <w:rFonts w:hint="eastAsia" w:ascii="仿宋" w:hAnsi="仿宋" w:eastAsia="仿宋"/>
          <w:color w:val="000000"/>
          <w:sz w:val="28"/>
          <w:szCs w:val="28"/>
        </w:rPr>
        <w:t>号），以及浙江省委宣传部、省委教育工委《浙江省高校思想政治理论课改革实施方案》（</w:t>
      </w:r>
      <w:r>
        <w:rPr>
          <w:rFonts w:ascii="仿宋" w:hAnsi="仿宋" w:eastAsia="仿宋"/>
          <w:color w:val="000000"/>
          <w:sz w:val="28"/>
          <w:szCs w:val="28"/>
        </w:rPr>
        <w:t>[2015]16</w:t>
      </w:r>
      <w:r>
        <w:rPr>
          <w:rFonts w:hint="eastAsia" w:ascii="仿宋" w:hAnsi="仿宋" w:eastAsia="仿宋"/>
          <w:color w:val="000000"/>
          <w:sz w:val="28"/>
          <w:szCs w:val="28"/>
        </w:rPr>
        <w:t>号）的要求，本科院校思想政治理论课专职教师按师生比</w:t>
      </w:r>
      <w:r>
        <w:rPr>
          <w:rFonts w:ascii="仿宋" w:hAnsi="仿宋" w:eastAsia="仿宋"/>
          <w:color w:val="000000"/>
          <w:sz w:val="28"/>
          <w:szCs w:val="28"/>
        </w:rPr>
        <w:t>1:350—400</w:t>
      </w:r>
      <w:r>
        <w:rPr>
          <w:rFonts w:hint="eastAsia" w:ascii="仿宋" w:hAnsi="仿宋" w:eastAsia="仿宋"/>
          <w:color w:val="000000"/>
          <w:sz w:val="28"/>
          <w:szCs w:val="28"/>
        </w:rPr>
        <w:t>配备，目前学院专职教师数量严重不足。现有部分教师的专业背景与马克思主义理论学科尚有差距，部分教师长期超负荷承担教学任务，科研方向不明不稳、能力不强、成果不多。教师中缺乏有影响的高水平学术带头人和中青年学术骨干，青年教师争取重大项目的能力亟待提高。</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、本科生教学效果亟待改善。教师在思政理论课教学中的主体性、能动性不足，教学方法创新不够，把控课堂的能力欠强，教学的吸引力、感染力尚未得到有效改善。</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研究生培养质量亟待提升。学科发展主要依托马克思主义中国化研究方向（硕士点），其他三个研究方向发展不平衡，马克思主义中国化的经济理论与实践研究方向一直没有启动。毕业研究生中，获得优秀硕士毕业论文、考取博士、发表高质量学术论文偏少。</w:t>
      </w:r>
    </w:p>
    <w:p>
      <w:pPr>
        <w:pStyle w:val="3"/>
        <w:adjustRightInd w:val="0"/>
        <w:snapToGrid w:val="0"/>
        <w:spacing w:after="0"/>
        <w:ind w:firstLine="560" w:firstLineChars="200"/>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学科建设和科研工作有待加强。学科研究与思政课教学相分离的问题比较严重，学位点的研究过于宽泛，部分教师停留在“职称科研”。科研工作的组织性、计划性有待加强，科研激励机制有待建立和完善。高层次学术交流和教师境内外访学严重不足。“十二五”期间，国家级科研成果仍未突破，省级科研成果止步不前。学科建设和科研工作在同类院校同类学科的竞争中仍处于相对弱势地位。</w:t>
      </w:r>
    </w:p>
    <w:p>
      <w:pPr>
        <w:widowControl/>
        <w:adjustRightInd w:val="0"/>
        <w:snapToGrid w:val="0"/>
        <w:rPr>
          <w:rFonts w:ascii="仿宋" w:hAnsi="仿宋" w:eastAsia="仿宋"/>
          <w:color w:val="000000"/>
          <w:sz w:val="28"/>
          <w:szCs w:val="28"/>
        </w:rPr>
      </w:pPr>
    </w:p>
    <w:p>
      <w:pPr>
        <w:pStyle w:val="3"/>
        <w:adjustRightInd w:val="0"/>
        <w:snapToGrid w:val="0"/>
        <w:spacing w:after="0" w:line="240" w:lineRule="auto"/>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二、“十三五”时期学院发展面临的形势</w:t>
      </w:r>
    </w:p>
    <w:p>
      <w:pPr>
        <w:pStyle w:val="3"/>
        <w:adjustRightInd w:val="0"/>
        <w:snapToGrid w:val="0"/>
        <w:spacing w:after="0"/>
        <w:ind w:firstLine="551" w:firstLineChars="196"/>
        <w:rPr>
          <w:rFonts w:ascii="仿宋" w:hAnsi="仿宋" w:eastAsia="仿宋"/>
          <w:b/>
          <w:color w:val="000000"/>
          <w:sz w:val="28"/>
          <w:szCs w:val="28"/>
        </w:rPr>
      </w:pPr>
      <w:r>
        <w:rPr>
          <w:rFonts w:hint="eastAsia" w:ascii="仿宋" w:hAnsi="仿宋" w:eastAsia="仿宋"/>
          <w:b/>
          <w:color w:val="000000"/>
          <w:sz w:val="28"/>
          <w:szCs w:val="28"/>
        </w:rPr>
        <w:t>（一）发展的机遇</w:t>
      </w:r>
    </w:p>
    <w:p>
      <w:pPr>
        <w:pStyle w:val="3"/>
        <w:adjustRightInd w:val="0"/>
        <w:snapToGrid w:val="0"/>
        <w:spacing w:after="0"/>
        <w:ind w:firstLine="560" w:firstLineChars="200"/>
        <w:rPr>
          <w:rFonts w:ascii="仿宋" w:hAnsi="仿宋" w:eastAsia="仿宋" w:cs="Times"/>
          <w:color w:val="000000"/>
          <w:kern w:val="0"/>
          <w:sz w:val="28"/>
          <w:szCs w:val="28"/>
        </w:rPr>
      </w:pPr>
      <w:r>
        <w:rPr>
          <w:rFonts w:ascii="仿宋" w:hAnsi="仿宋" w:eastAsia="仿宋"/>
          <w:color w:val="000000"/>
          <w:sz w:val="28"/>
          <w:szCs w:val="28"/>
        </w:rPr>
        <w:t>1</w:t>
      </w:r>
      <w:r>
        <w:rPr>
          <w:rFonts w:hint="eastAsia" w:ascii="仿宋" w:hAnsi="仿宋" w:eastAsia="仿宋"/>
          <w:color w:val="000000"/>
          <w:sz w:val="28"/>
          <w:szCs w:val="28"/>
        </w:rPr>
        <w:t>、思想理论建设和意识形态工作得到高度重视。党的十八大以来，党中央进一步加强改进思想理论建设和意识形态工作，对做好新形势下高校宣传思想理论工作、提升马克思主义的引领作用作了全面部署。高校</w:t>
      </w:r>
      <w:r>
        <w:rPr>
          <w:rFonts w:hint="eastAsia" w:ascii="仿宋" w:hAnsi="仿宋" w:eastAsia="仿宋" w:cs="Times"/>
          <w:color w:val="000000"/>
          <w:kern w:val="0"/>
          <w:sz w:val="28"/>
          <w:szCs w:val="28"/>
        </w:rPr>
        <w:t>思想政治理论课是巩固马克思主义在高校意识形态领域指导地位、坚持社会主义办学方向的重要阵地，是全面贯彻落实党的教育方针、落实立德树人根本任务的主干渠道，是进行社会主义核心价值观教育、帮助大学生树立正确世界观人生观价值观的核心课程，必须把讲好思政课作为高校思想理论建设和意识形态工作的“重中之重”。马克思主义学院对抓好思政课教育教学肩负着重要使命。</w:t>
      </w:r>
    </w:p>
    <w:p>
      <w:pPr>
        <w:pStyle w:val="3"/>
        <w:adjustRightInd w:val="0"/>
        <w:snapToGrid w:val="0"/>
        <w:spacing w:after="0"/>
        <w:ind w:firstLine="560" w:firstLineChars="200"/>
        <w:rPr>
          <w:rFonts w:ascii="仿宋" w:hAnsi="仿宋" w:eastAsia="仿宋" w:cs="Times"/>
          <w:color w:val="000000"/>
          <w:kern w:val="0"/>
          <w:sz w:val="28"/>
          <w:szCs w:val="28"/>
        </w:rPr>
      </w:pPr>
      <w:r>
        <w:rPr>
          <w:rFonts w:ascii="仿宋" w:hAnsi="仿宋" w:eastAsia="仿宋"/>
          <w:color w:val="000000"/>
          <w:sz w:val="28"/>
          <w:szCs w:val="28"/>
        </w:rPr>
        <w:t>2</w:t>
      </w:r>
      <w:r>
        <w:rPr>
          <w:rFonts w:hint="eastAsia" w:ascii="仿宋" w:hAnsi="仿宋" w:eastAsia="仿宋"/>
          <w:color w:val="000000"/>
          <w:sz w:val="28"/>
          <w:szCs w:val="28"/>
        </w:rPr>
        <w:t>、马克思主义理论学习研究迎来新高潮。</w:t>
      </w:r>
      <w:r>
        <w:rPr>
          <w:rFonts w:ascii="仿宋" w:hAnsi="仿宋" w:eastAsia="仿宋" w:cs="Times"/>
          <w:color w:val="000000"/>
          <w:kern w:val="0"/>
          <w:sz w:val="28"/>
          <w:szCs w:val="28"/>
        </w:rPr>
        <w:t>2016</w:t>
      </w:r>
      <w:r>
        <w:rPr>
          <w:rFonts w:hint="eastAsia" w:ascii="仿宋" w:hAnsi="仿宋" w:eastAsia="仿宋" w:cs="Times"/>
          <w:color w:val="000000"/>
          <w:kern w:val="0"/>
          <w:sz w:val="28"/>
          <w:szCs w:val="28"/>
        </w:rPr>
        <w:t>年</w:t>
      </w:r>
      <w:r>
        <w:rPr>
          <w:rFonts w:ascii="仿宋" w:hAnsi="仿宋" w:eastAsia="仿宋" w:cs="Times"/>
          <w:color w:val="000000"/>
          <w:kern w:val="0"/>
          <w:sz w:val="28"/>
          <w:szCs w:val="28"/>
        </w:rPr>
        <w:t>5</w:t>
      </w:r>
      <w:r>
        <w:rPr>
          <w:rFonts w:hint="eastAsia" w:ascii="仿宋" w:hAnsi="仿宋" w:eastAsia="仿宋" w:cs="Times"/>
          <w:color w:val="000000"/>
          <w:kern w:val="0"/>
          <w:sz w:val="28"/>
          <w:szCs w:val="28"/>
        </w:rPr>
        <w:t>月</w:t>
      </w:r>
      <w:r>
        <w:rPr>
          <w:rFonts w:ascii="仿宋" w:hAnsi="仿宋" w:eastAsia="仿宋" w:cs="Times"/>
          <w:color w:val="000000"/>
          <w:kern w:val="0"/>
          <w:sz w:val="28"/>
          <w:szCs w:val="28"/>
        </w:rPr>
        <w:t>17</w:t>
      </w:r>
      <w:r>
        <w:rPr>
          <w:rFonts w:hint="eastAsia" w:ascii="仿宋" w:hAnsi="仿宋" w:eastAsia="仿宋" w:cs="Times"/>
          <w:color w:val="000000"/>
          <w:kern w:val="0"/>
          <w:sz w:val="28"/>
          <w:szCs w:val="28"/>
        </w:rPr>
        <w:t>日习近平总书记在哲学社会科学工作座谈会上强调：“我国广大哲学社会科学工作者要自觉坚持以马克思主义为指导，自觉把中国特色社会主义理论体系贯穿研究和教学全过程，转化为清醒的理论自觉、坚定的政治信念、科学的思维方法”。习近平总书记在庆祝中国共产党成立</w:t>
      </w:r>
      <w:r>
        <w:rPr>
          <w:rFonts w:ascii="仿宋" w:hAnsi="仿宋" w:eastAsia="仿宋" w:cs="Times"/>
          <w:color w:val="000000"/>
          <w:kern w:val="0"/>
          <w:sz w:val="28"/>
          <w:szCs w:val="28"/>
        </w:rPr>
        <w:t>95</w:t>
      </w:r>
      <w:r>
        <w:rPr>
          <w:rFonts w:hint="eastAsia" w:ascii="仿宋" w:hAnsi="仿宋" w:eastAsia="仿宋" w:cs="Times"/>
          <w:color w:val="000000"/>
          <w:kern w:val="0"/>
          <w:sz w:val="28"/>
          <w:szCs w:val="28"/>
        </w:rPr>
        <w:t>周年的</w:t>
      </w:r>
      <w:r>
        <w:rPr>
          <w:rFonts w:hint="eastAsia" w:ascii="仿宋" w:hAnsi="仿宋" w:eastAsia="仿宋" w:cs="Helvetica"/>
          <w:color w:val="000000"/>
          <w:kern w:val="0"/>
          <w:sz w:val="28"/>
          <w:szCs w:val="28"/>
        </w:rPr>
        <w:t>重要讲话</w:t>
      </w:r>
      <w:r>
        <w:rPr>
          <w:rFonts w:hint="eastAsia" w:ascii="仿宋" w:hAnsi="仿宋" w:eastAsia="仿宋" w:cs="Times"/>
          <w:color w:val="000000"/>
          <w:kern w:val="0"/>
          <w:sz w:val="28"/>
          <w:szCs w:val="28"/>
        </w:rPr>
        <w:t>中指出：坚持不忘初心、继续前进，就要坚持马克思主义的指导地位。高校马克思主义学院是学习研究宣传马克思主义的重要阵地，</w:t>
      </w:r>
      <w:r>
        <w:rPr>
          <w:rFonts w:hint="eastAsia" w:ascii="仿宋" w:hAnsi="仿宋" w:eastAsia="仿宋"/>
          <w:color w:val="000000"/>
          <w:sz w:val="28"/>
          <w:szCs w:val="28"/>
        </w:rPr>
        <w:t>直接肩负着巩固马克思主义的指导地位，培养中国特色社会主义合格建设者和可靠接班人的重要使命</w:t>
      </w:r>
      <w:r>
        <w:rPr>
          <w:rFonts w:hint="eastAsia" w:ascii="仿宋" w:hAnsi="仿宋" w:eastAsia="仿宋" w:cs="Times"/>
          <w:color w:val="000000"/>
          <w:kern w:val="0"/>
          <w:sz w:val="28"/>
          <w:szCs w:val="28"/>
        </w:rPr>
        <w:t>。</w:t>
      </w:r>
    </w:p>
    <w:p>
      <w:pPr>
        <w:pStyle w:val="3"/>
        <w:adjustRightInd w:val="0"/>
        <w:snapToGrid w:val="0"/>
        <w:spacing w:after="0"/>
        <w:ind w:firstLine="560" w:firstLineChars="200"/>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、马克思主义学院建设得到高度关注。</w:t>
      </w:r>
      <w:r>
        <w:rPr>
          <w:rFonts w:ascii="仿宋" w:hAnsi="仿宋" w:eastAsia="仿宋" w:cs="Times"/>
          <w:color w:val="000000"/>
          <w:kern w:val="0"/>
          <w:sz w:val="28"/>
          <w:szCs w:val="28"/>
        </w:rPr>
        <w:t>2004</w:t>
      </w:r>
      <w:r>
        <w:rPr>
          <w:rFonts w:hint="eastAsia" w:ascii="仿宋" w:hAnsi="仿宋" w:eastAsia="仿宋" w:cs="Times"/>
          <w:color w:val="000000"/>
          <w:kern w:val="0"/>
          <w:sz w:val="28"/>
          <w:szCs w:val="28"/>
        </w:rPr>
        <w:t>年，中央启动马克思主义理论研究和建设工程，</w:t>
      </w:r>
      <w:r>
        <w:rPr>
          <w:rFonts w:ascii="仿宋" w:hAnsi="仿宋" w:eastAsia="仿宋" w:cs="Times"/>
          <w:color w:val="000000"/>
          <w:kern w:val="0"/>
          <w:sz w:val="28"/>
          <w:szCs w:val="28"/>
        </w:rPr>
        <w:t>2005</w:t>
      </w:r>
      <w:r>
        <w:rPr>
          <w:rFonts w:hint="eastAsia" w:ascii="仿宋" w:hAnsi="仿宋" w:eastAsia="仿宋" w:cs="Times"/>
          <w:color w:val="000000"/>
          <w:kern w:val="0"/>
          <w:sz w:val="28"/>
          <w:szCs w:val="28"/>
        </w:rPr>
        <w:t>年设立马克思主义理论一级学科，</w:t>
      </w:r>
      <w:r>
        <w:rPr>
          <w:rFonts w:ascii="仿宋" w:hAnsi="仿宋" w:eastAsia="仿宋"/>
          <w:color w:val="000000"/>
          <w:sz w:val="28"/>
          <w:szCs w:val="28"/>
        </w:rPr>
        <w:t>2015</w:t>
      </w:r>
      <w:r>
        <w:rPr>
          <w:rFonts w:hint="eastAsia" w:ascii="仿宋" w:hAnsi="仿宋" w:eastAsia="仿宋"/>
          <w:color w:val="000000"/>
          <w:sz w:val="28"/>
          <w:szCs w:val="28"/>
        </w:rPr>
        <w:t>年教育部印发了《高等学校思想政治理论课建设标准》，现正在研究制定《高等学校马克思主义学院建设标准》，着力推进马克思主义学院科学发展。</w:t>
      </w:r>
      <w:r>
        <w:rPr>
          <w:rFonts w:ascii="仿宋" w:hAnsi="仿宋" w:eastAsia="仿宋"/>
          <w:color w:val="000000"/>
          <w:sz w:val="28"/>
          <w:szCs w:val="28"/>
        </w:rPr>
        <w:t>2015</w:t>
      </w:r>
      <w:r>
        <w:rPr>
          <w:rFonts w:hint="eastAsia" w:ascii="仿宋" w:hAnsi="仿宋" w:eastAsia="仿宋"/>
          <w:color w:val="000000"/>
          <w:sz w:val="28"/>
          <w:szCs w:val="28"/>
        </w:rPr>
        <w:t>年</w:t>
      </w:r>
      <w:r>
        <w:rPr>
          <w:rFonts w:ascii="仿宋" w:hAnsi="仿宋" w:eastAsia="仿宋"/>
          <w:color w:val="000000"/>
          <w:sz w:val="28"/>
          <w:szCs w:val="28"/>
        </w:rPr>
        <w:t>10</w:t>
      </w:r>
      <w:r>
        <w:rPr>
          <w:rFonts w:hint="eastAsia" w:ascii="仿宋" w:hAnsi="仿宋" w:eastAsia="仿宋"/>
          <w:color w:val="000000"/>
          <w:sz w:val="28"/>
          <w:szCs w:val="28"/>
        </w:rPr>
        <w:t>月，中宣部、教育部联合印发《普通高校思想政治理论课建设体系创新计划》，明确各地要重点建设一批教学科研皆强的马克思主义学院。</w:t>
      </w:r>
      <w:r>
        <w:rPr>
          <w:rFonts w:ascii="仿宋" w:hAnsi="仿宋" w:eastAsia="仿宋"/>
          <w:color w:val="000000"/>
          <w:sz w:val="28"/>
          <w:szCs w:val="28"/>
        </w:rPr>
        <w:t>2016</w:t>
      </w:r>
      <w:r>
        <w:rPr>
          <w:rFonts w:hint="eastAsia" w:ascii="仿宋" w:hAnsi="仿宋" w:eastAsia="仿宋"/>
          <w:color w:val="000000"/>
          <w:sz w:val="28"/>
          <w:szCs w:val="28"/>
        </w:rPr>
        <w:t>年初，全国确立了</w:t>
      </w:r>
      <w:r>
        <w:rPr>
          <w:rFonts w:ascii="仿宋" w:hAnsi="仿宋" w:eastAsia="仿宋"/>
          <w:color w:val="000000"/>
          <w:sz w:val="28"/>
          <w:szCs w:val="28"/>
        </w:rPr>
        <w:t>9</w:t>
      </w:r>
      <w:r>
        <w:rPr>
          <w:rFonts w:hint="eastAsia" w:ascii="仿宋" w:hAnsi="仿宋" w:eastAsia="仿宋"/>
          <w:color w:val="000000"/>
          <w:sz w:val="28"/>
          <w:szCs w:val="28"/>
        </w:rPr>
        <w:t>所重点马克思主义学院，当前各省市高校重点马克思主义学院建设评审工作相继开展。</w:t>
      </w:r>
      <w:r>
        <w:rPr>
          <w:rFonts w:ascii="仿宋" w:hAnsi="仿宋" w:eastAsia="仿宋"/>
          <w:color w:val="000000"/>
          <w:sz w:val="28"/>
          <w:szCs w:val="28"/>
        </w:rPr>
        <w:t>2016</w:t>
      </w:r>
      <w:r>
        <w:rPr>
          <w:rFonts w:hint="eastAsia" w:ascii="仿宋" w:hAnsi="仿宋" w:eastAsia="仿宋"/>
          <w:color w:val="000000"/>
          <w:sz w:val="28"/>
          <w:szCs w:val="28"/>
        </w:rPr>
        <w:t>年</w:t>
      </w:r>
      <w:r>
        <w:rPr>
          <w:rFonts w:ascii="仿宋" w:hAnsi="仿宋" w:eastAsia="仿宋"/>
          <w:color w:val="000000"/>
          <w:sz w:val="28"/>
          <w:szCs w:val="28"/>
        </w:rPr>
        <w:t>6</w:t>
      </w:r>
      <w:r>
        <w:rPr>
          <w:rFonts w:hint="eastAsia" w:ascii="仿宋" w:hAnsi="仿宋" w:eastAsia="仿宋"/>
          <w:color w:val="000000"/>
          <w:sz w:val="28"/>
          <w:szCs w:val="28"/>
        </w:rPr>
        <w:t>月学校党委将马克思主义学院建设列入学校事业发展规划，组建独立设置的教学单位，明确学院发展定位，为促进学院发展提供了难得的机遇。</w:t>
      </w:r>
    </w:p>
    <w:p>
      <w:pPr>
        <w:pStyle w:val="3"/>
        <w:adjustRightInd w:val="0"/>
        <w:snapToGrid w:val="0"/>
        <w:spacing w:after="0"/>
        <w:ind w:firstLine="551" w:firstLineChars="196"/>
        <w:rPr>
          <w:rFonts w:ascii="仿宋" w:hAnsi="仿宋" w:eastAsia="仿宋"/>
          <w:color w:val="000000"/>
          <w:sz w:val="28"/>
          <w:szCs w:val="28"/>
        </w:rPr>
      </w:pPr>
      <w:r>
        <w:rPr>
          <w:rFonts w:hint="eastAsia" w:ascii="仿宋" w:hAnsi="仿宋" w:eastAsia="仿宋"/>
          <w:b/>
          <w:color w:val="000000"/>
          <w:sz w:val="28"/>
          <w:szCs w:val="28"/>
        </w:rPr>
        <w:t>（二）面临的挑战</w:t>
      </w:r>
    </w:p>
    <w:p>
      <w:pPr>
        <w:pStyle w:val="3"/>
        <w:adjustRightInd w:val="0"/>
        <w:snapToGrid w:val="0"/>
        <w:spacing w:after="0"/>
        <w:ind w:firstLine="560" w:firstLineChars="200"/>
        <w:rPr>
          <w:rFonts w:ascii="仿宋" w:hAnsi="仿宋" w:eastAsia="仿宋"/>
          <w:color w:val="000000"/>
          <w:sz w:val="28"/>
          <w:szCs w:val="28"/>
        </w:rPr>
      </w:pPr>
      <w:r>
        <w:rPr>
          <w:rFonts w:hint="eastAsia" w:ascii="仿宋" w:hAnsi="仿宋" w:eastAsia="仿宋"/>
          <w:color w:val="000000"/>
          <w:sz w:val="28"/>
          <w:szCs w:val="28"/>
        </w:rPr>
        <w:t>当今世界范围内各种思想文化交流交融交锋频繁，国际思想文化领域斗争深刻复杂；一些西方国家利用经济全球化输出西方价值观念，运用各种手段和渠道进行思想文化渗透，图谋颠覆社会主义制度。这对坚持马克思主义指导地位，切实发挥马克思主义学院在</w:t>
      </w:r>
      <w:r>
        <w:rPr>
          <w:rFonts w:hint="eastAsia" w:ascii="仿宋" w:hAnsi="仿宋" w:eastAsia="仿宋" w:cs="Times"/>
          <w:color w:val="000000"/>
          <w:kern w:val="0"/>
          <w:sz w:val="28"/>
          <w:szCs w:val="28"/>
        </w:rPr>
        <w:t>学习研究宣传马克思主义理论的作用，</w:t>
      </w:r>
      <w:r>
        <w:rPr>
          <w:rFonts w:hint="eastAsia" w:ascii="仿宋" w:hAnsi="仿宋" w:eastAsia="仿宋"/>
          <w:color w:val="000000"/>
          <w:sz w:val="28"/>
          <w:szCs w:val="28"/>
        </w:rPr>
        <w:t>提出了严峻挑战。</w:t>
      </w:r>
    </w:p>
    <w:p>
      <w:pPr>
        <w:pStyle w:val="3"/>
        <w:adjustRightInd w:val="0"/>
        <w:snapToGrid w:val="0"/>
        <w:spacing w:after="0"/>
        <w:ind w:firstLine="560" w:firstLineChars="200"/>
        <w:rPr>
          <w:rFonts w:ascii="仿宋" w:hAnsi="仿宋" w:eastAsia="仿宋" w:cs="Times"/>
          <w:color w:val="000000"/>
          <w:kern w:val="0"/>
          <w:sz w:val="28"/>
          <w:szCs w:val="28"/>
        </w:rPr>
      </w:pPr>
      <w:r>
        <w:rPr>
          <w:rFonts w:hint="eastAsia" w:ascii="仿宋" w:hAnsi="仿宋" w:eastAsia="仿宋"/>
          <w:color w:val="000000"/>
          <w:sz w:val="28"/>
          <w:szCs w:val="28"/>
        </w:rPr>
        <w:t>我国国内各种矛盾相互叠加、集中呈现，人民群众根本利益的统一性和具体利益的差异性，主导价值观选择的统一性和个体价值观选择的多样性的共存，使得用社会主义核心价值观引领广大师生的任务更加艰巨，对马克思主义学院如何抓好思想政治理论课教育教学，肩负起</w:t>
      </w:r>
      <w:r>
        <w:rPr>
          <w:rFonts w:hint="eastAsia" w:ascii="仿宋" w:hAnsi="仿宋" w:eastAsia="仿宋" w:cs="Times"/>
          <w:color w:val="000000"/>
          <w:kern w:val="0"/>
          <w:sz w:val="28"/>
          <w:szCs w:val="28"/>
        </w:rPr>
        <w:t>培养合格建设者和可靠接班人的重要使命，提出了新要求。</w:t>
      </w:r>
    </w:p>
    <w:p>
      <w:pPr>
        <w:pStyle w:val="3"/>
        <w:adjustRightInd w:val="0"/>
        <w:snapToGrid w:val="0"/>
        <w:spacing w:after="0" w:line="240" w:lineRule="auto"/>
        <w:ind w:firstLine="0" w:firstLineChars="0"/>
        <w:rPr>
          <w:rFonts w:ascii="仿宋" w:hAnsi="仿宋" w:eastAsia="仿宋"/>
          <w:b/>
          <w:bCs/>
          <w:color w:val="000000"/>
          <w:sz w:val="28"/>
          <w:szCs w:val="28"/>
        </w:rPr>
      </w:pPr>
    </w:p>
    <w:p>
      <w:pPr>
        <w:pStyle w:val="3"/>
        <w:adjustRightInd w:val="0"/>
        <w:snapToGrid w:val="0"/>
        <w:spacing w:after="0" w:line="240" w:lineRule="auto"/>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三、“十三五”时期学院发展的思路与目标</w:t>
      </w:r>
    </w:p>
    <w:p>
      <w:pPr>
        <w:pStyle w:val="3"/>
        <w:adjustRightInd w:val="0"/>
        <w:snapToGrid w:val="0"/>
        <w:spacing w:after="0"/>
        <w:ind w:firstLine="551" w:firstLineChars="196"/>
        <w:rPr>
          <w:rFonts w:ascii="仿宋" w:hAnsi="仿宋" w:eastAsia="仿宋"/>
          <w:b/>
          <w:color w:val="000000"/>
          <w:sz w:val="28"/>
          <w:szCs w:val="28"/>
        </w:rPr>
      </w:pPr>
      <w:r>
        <w:rPr>
          <w:rFonts w:hint="eastAsia" w:ascii="仿宋" w:hAnsi="仿宋" w:eastAsia="仿宋"/>
          <w:b/>
          <w:color w:val="000000"/>
          <w:sz w:val="28"/>
          <w:szCs w:val="28"/>
        </w:rPr>
        <w:t>（一）指导思想</w:t>
      </w:r>
    </w:p>
    <w:p>
      <w:pPr>
        <w:autoSpaceDE w:val="0"/>
        <w:autoSpaceDN w:val="0"/>
        <w:adjustRightInd w:val="0"/>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高举中国特色社会主义伟大旗帜，以马克思列宁主义、毛泽东思想、邓小平理论、“三个代表”重要思想、科学发展观为指导，深入贯彻习近平总书记系列重要讲话精神，坚持育人为本、德育为先，把立德树人作为根本任务。认真落实中宣部、教育部关于加强马克思主义学院建设和思想政治理论课建设系列文件精神，加强学科、队伍、平台和制度建设，深化教育教学改革，为把学院建设成为意识形态工作和马克思主义理论教学、研究、人才培养的坚强阵地而努力奋斗。</w:t>
      </w:r>
    </w:p>
    <w:p>
      <w:pPr>
        <w:pStyle w:val="3"/>
        <w:adjustRightInd w:val="0"/>
        <w:snapToGrid w:val="0"/>
        <w:spacing w:after="0"/>
        <w:ind w:firstLine="551" w:firstLineChars="196"/>
        <w:rPr>
          <w:rFonts w:ascii="仿宋" w:hAnsi="仿宋" w:eastAsia="仿宋"/>
          <w:b/>
          <w:color w:val="000000"/>
          <w:sz w:val="28"/>
          <w:szCs w:val="28"/>
        </w:rPr>
      </w:pPr>
      <w:r>
        <w:rPr>
          <w:rFonts w:hint="eastAsia" w:ascii="仿宋" w:hAnsi="仿宋" w:eastAsia="仿宋"/>
          <w:b/>
          <w:color w:val="000000"/>
          <w:sz w:val="28"/>
          <w:szCs w:val="28"/>
        </w:rPr>
        <w:t>（二）发展思路</w:t>
      </w:r>
    </w:p>
    <w:p>
      <w:pPr>
        <w:autoSpaceDE w:val="0"/>
        <w:autoSpaceDN w:val="0"/>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把思想政治理论课建设作为学院的核心工作和首要使命。按照教育部“普通高校思想政治理论课建设体系创新计划”的要求，把思想政治理论课作为重点课程建设，纳入学校重点课程建设规划；加快制定思政课建设体系创新发展规划和工作方案，努力实现思政课建设取得阶段性、突破性进展。</w:t>
      </w:r>
    </w:p>
    <w:p>
      <w:pPr>
        <w:autoSpaceDE w:val="0"/>
        <w:autoSpaceDN w:val="0"/>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把学科建设作为核心竞争力抓准抓实。把马克思主义理论学科作为重点学科建设，纳入学校重点学科建设规划。自觉把学科研究方向凝聚到服务思政课教育教学和人才培养上来；鼓励和引导教师研究马克思主义在当代发展中的重大问题，研究中国特色社会主义理论与实践中的重大问题，研究学生关心的理论和实践问题。</w:t>
      </w:r>
    </w:p>
    <w:p>
      <w:pPr>
        <w:pStyle w:val="3"/>
        <w:adjustRightInd w:val="0"/>
        <w:snapToGrid w:val="0"/>
        <w:spacing w:after="0"/>
        <w:ind w:firstLine="560" w:firstLineChars="200"/>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把学院自身建设作为重要基础夯深夯实。把学院作为重点教学单位建设，加强学院领导班子、师资队伍和规章制度建设，制定中长期发展规划，明确发展目标任务。加强学院文化的凝练，发挥马克思主义学院文化在大学文化中的引领和导向作用。加强学院党组织建设，充分发挥党组织的政治核心和战斗堡垒作用。</w:t>
      </w:r>
    </w:p>
    <w:p>
      <w:pPr>
        <w:pStyle w:val="3"/>
        <w:adjustRightInd w:val="0"/>
        <w:snapToGrid w:val="0"/>
        <w:spacing w:after="0"/>
        <w:ind w:firstLine="551" w:firstLineChars="196"/>
        <w:rPr>
          <w:rFonts w:ascii="仿宋" w:hAnsi="仿宋" w:eastAsia="仿宋"/>
          <w:b/>
          <w:bCs/>
          <w:color w:val="000000"/>
          <w:sz w:val="28"/>
          <w:szCs w:val="28"/>
        </w:rPr>
      </w:pPr>
      <w:r>
        <w:rPr>
          <w:rFonts w:hint="eastAsia" w:ascii="仿宋" w:hAnsi="仿宋" w:eastAsia="仿宋"/>
          <w:b/>
          <w:color w:val="000000"/>
          <w:sz w:val="28"/>
          <w:szCs w:val="28"/>
        </w:rPr>
        <w:t>（三）发展目标</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学科层次和水平明显提高。在全国农林院校马克思主义理论学科排序中位于中等水平，在浙江省高校位于中等偏上水平。积极申报马克思主义理论一级学科硕士点，为申报马克思主义理论二级学科博士点奠定基础。争取进入省级一流学科行列，在全省高校马克思主义理论学科建设中发挥重要作用。</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师资总量显著增长，队伍结构得到优化。加快引进高层次人才，重点培养和引进优秀青年人才。专职教师数量达到国家规定标准；师资队伍结构全面优化，博士比率超过学校平均水平，教师教学水平、科研能力全面提升。</w:t>
      </w:r>
    </w:p>
    <w:p>
      <w:pPr>
        <w:autoSpaceDE w:val="0"/>
        <w:autoSpaceDN w:val="0"/>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教学建设取得突破性进展。加大思政课标准化课程和优质通识课程建设力度，争取省级精品课程立项，推进思想政治教育教学学术成果数量和质量普遍提高。加强研究生创新创业教育，创建研究生实践基地，着力提高研究生发表高质量论文数量和考博率，形成特色鲜明的研究生人才培养模式。</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科研水平和学术影响力不断提升。争取国家级科研项目持续立项，省部级科研项目稳步增长，科研项目到位经费超额完成学校指标。在权威期刊、一级期刊上发表的学术论文数量快速增长，出版学术专著质量普遍提高。省部级以上社科优秀成果奖获奖取得新进展。</w:t>
      </w:r>
    </w:p>
    <w:p>
      <w:pPr>
        <w:autoSpaceDE w:val="0"/>
        <w:autoSpaceDN w:val="0"/>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社会合作不断深化。积极参与社会合作，加强决策咨询及应用对策研究，提高合作的深度广度，提升学院的社会影响力。参与教育国际化有新突破。</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学院文化培育初显成效。不断总结凝练学院文化，彰显学院特色文化，增强学院发展与建设的软实力。加快推进学院治理体系与治理能力现代化。</w:t>
      </w:r>
    </w:p>
    <w:p>
      <w:pPr>
        <w:pStyle w:val="3"/>
        <w:adjustRightInd w:val="0"/>
        <w:snapToGrid w:val="0"/>
        <w:spacing w:after="0"/>
        <w:ind w:firstLine="560" w:firstLineChars="200"/>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党建工作得到切实加强。健全党团工会组织建设，加强党的思想、组织、作风、制度和反腐倡廉建设</w:t>
      </w:r>
      <w:r>
        <w:rPr>
          <w:rFonts w:hint="eastAsia" w:ascii="仿宋" w:hAnsi="仿宋" w:eastAsia="仿宋" w:cs="Arial"/>
          <w:color w:val="333333"/>
          <w:sz w:val="28"/>
          <w:szCs w:val="28"/>
        </w:rPr>
        <w:t>。切实</w:t>
      </w:r>
      <w:r>
        <w:rPr>
          <w:rFonts w:hint="eastAsia" w:ascii="仿宋" w:hAnsi="仿宋" w:eastAsia="仿宋"/>
          <w:color w:val="000000"/>
          <w:sz w:val="28"/>
          <w:szCs w:val="28"/>
        </w:rPr>
        <w:t>发挥党组织的政治核心和战斗堡垒作用、党员的先锋模范作用。</w:t>
      </w:r>
    </w:p>
    <w:p>
      <w:pPr>
        <w:widowControl/>
        <w:adjustRightInd w:val="0"/>
        <w:snapToGrid w:val="0"/>
        <w:rPr>
          <w:rFonts w:ascii="仿宋" w:hAnsi="仿宋" w:eastAsia="仿宋"/>
          <w:color w:val="000000"/>
          <w:sz w:val="28"/>
          <w:szCs w:val="28"/>
        </w:rPr>
      </w:pPr>
    </w:p>
    <w:p>
      <w:pPr>
        <w:pStyle w:val="3"/>
        <w:adjustRightInd w:val="0"/>
        <w:snapToGrid w:val="0"/>
        <w:spacing w:after="0" w:line="240" w:lineRule="auto"/>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四、“十三五”期间学院发展的主要任务</w:t>
      </w:r>
    </w:p>
    <w:p>
      <w:pPr>
        <w:adjustRightInd w:val="0"/>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十三五”期间，学院发展以学科建设为主线，以教学建设为根本、以队伍建设为重点，以平台建设为载体，以条件和制度建设为保障，围绕人才培养、科学研究、社会服务、文化传承与创新和党的建设，努力提升学院办学层次水平，推动学院健康快速发展。</w:t>
      </w:r>
    </w:p>
    <w:p>
      <w:pPr>
        <w:adjustRightInd w:val="0"/>
        <w:snapToGrid w:val="0"/>
        <w:spacing w:line="560" w:lineRule="exact"/>
        <w:ind w:firstLine="551" w:firstLineChars="196"/>
        <w:rPr>
          <w:rFonts w:ascii="仿宋" w:hAnsi="仿宋" w:eastAsia="仿宋"/>
          <w:b/>
          <w:color w:val="000000"/>
          <w:sz w:val="28"/>
          <w:szCs w:val="28"/>
        </w:rPr>
      </w:pPr>
      <w:r>
        <w:rPr>
          <w:rFonts w:hint="eastAsia" w:ascii="仿宋" w:hAnsi="仿宋" w:eastAsia="仿宋"/>
          <w:b/>
          <w:color w:val="000000"/>
          <w:sz w:val="28"/>
          <w:szCs w:val="28"/>
        </w:rPr>
        <w:t>（一）学科建设</w:t>
      </w:r>
    </w:p>
    <w:p>
      <w:pPr>
        <w:autoSpaceDE w:val="0"/>
        <w:autoSpaceDN w:val="0"/>
        <w:adjustRightInd w:val="0"/>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有计划、有重点、分层次建设马克思主义基本原理、中国近现代史基本问题研究和思想政治教育三个二级学科，完成马克思主义理论一级学科建设任务。加强校际合作，积极争取联合培养博士，为申报马克思主义理论二级博士点奠定基础。</w:t>
      </w:r>
    </w:p>
    <w:p>
      <w:pPr>
        <w:autoSpaceDE w:val="0"/>
        <w:autoSpaceDN w:val="0"/>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马克思主义中国化研究。该方向是以马克思主义中国化为主线，以中国化马克思主义为主题，以中国特色社会主义建设的理论和实践问题为重点，深入研究中国共产党人推进马克思主义中国化的历史进程、基本经验及其面临的重大现实问题。该方向对接学校“</w:t>
      </w:r>
      <w:r>
        <w:rPr>
          <w:rFonts w:ascii="仿宋" w:hAnsi="仿宋" w:eastAsia="仿宋"/>
          <w:color w:val="000000"/>
          <w:sz w:val="28"/>
          <w:szCs w:val="28"/>
        </w:rPr>
        <w:t>1030</w:t>
      </w:r>
      <w:r>
        <w:rPr>
          <w:rFonts w:hint="eastAsia" w:ascii="仿宋" w:hAnsi="仿宋" w:eastAsia="仿宋"/>
          <w:color w:val="000000"/>
          <w:sz w:val="28"/>
          <w:szCs w:val="28"/>
        </w:rPr>
        <w:t>”发展战略，为相关学科发展提供基础理论和基本方法。</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马克思主义基本原理研究。该方向主要依据马克思的人发展理论、社会发展理论，紧密结合当代现实问题，着重围绕人与社会的全面发展、和谐社会构建、生态文明建设等进行创新性研究。该方向要成为马克思主义理论一级学科建设的牢固基础。</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中国近现代史基本问题研究。该方向是在准确把握中国近现代历史进程和时代主题的基础上，总结中国近现代历史的基本规律和基本经验，以知识分子问题、革命文化问题、和平发展战略为重点展开研究。该方向要成为马克思主义理论一级学科建设的历史根基，需要重点研究突破。</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思想政治教育研究。该方向是运用马克思主义理论与方法，针对大学生的生活和学习实际，着重围绕其思想品德形成、发展和思想政治教育的一般规律开展研究。该方向是马克思主义理论的实际运用，是理论联系实际的重要体现，要成为马克思主义理论一级学科建设的着力点。</w:t>
      </w:r>
    </w:p>
    <w:p>
      <w:pPr>
        <w:adjustRightInd w:val="0"/>
        <w:snapToGrid w:val="0"/>
        <w:spacing w:line="560" w:lineRule="exact"/>
        <w:ind w:firstLine="551" w:firstLineChars="196"/>
        <w:rPr>
          <w:rFonts w:ascii="仿宋" w:hAnsi="仿宋" w:eastAsia="仿宋"/>
          <w:b/>
          <w:color w:val="000000"/>
          <w:sz w:val="28"/>
          <w:szCs w:val="28"/>
        </w:rPr>
      </w:pPr>
      <w:r>
        <w:rPr>
          <w:rFonts w:hint="eastAsia" w:ascii="仿宋" w:hAnsi="仿宋" w:eastAsia="仿宋"/>
          <w:b/>
          <w:color w:val="000000"/>
          <w:sz w:val="28"/>
          <w:szCs w:val="28"/>
        </w:rPr>
        <w:t>（二）人才培养</w:t>
      </w:r>
    </w:p>
    <w:p>
      <w:pPr>
        <w:adjustRightInd w:val="0"/>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主动适应学校人才培养模式创新，强化课程建设，形成课程体系特色。完成课堂教学改革课程</w:t>
      </w:r>
      <w:r>
        <w:rPr>
          <w:rFonts w:ascii="仿宋" w:hAnsi="仿宋" w:eastAsia="仿宋"/>
          <w:color w:val="000000"/>
          <w:sz w:val="28"/>
          <w:szCs w:val="28"/>
        </w:rPr>
        <w:t>3</w:t>
      </w:r>
      <w:r>
        <w:rPr>
          <w:rFonts w:hint="eastAsia" w:ascii="仿宋" w:hAnsi="仿宋" w:eastAsia="仿宋"/>
          <w:color w:val="000000"/>
          <w:sz w:val="28"/>
          <w:szCs w:val="28"/>
        </w:rPr>
        <w:t>门以上，完成</w:t>
      </w:r>
      <w:r>
        <w:rPr>
          <w:rFonts w:ascii="仿宋" w:hAnsi="仿宋" w:eastAsia="仿宋"/>
          <w:color w:val="000000"/>
          <w:sz w:val="28"/>
          <w:szCs w:val="28"/>
        </w:rPr>
        <w:t>4</w:t>
      </w:r>
      <w:r>
        <w:rPr>
          <w:rFonts w:hint="eastAsia" w:ascii="仿宋" w:hAnsi="仿宋" w:eastAsia="仿宋"/>
          <w:color w:val="000000"/>
          <w:sz w:val="28"/>
          <w:szCs w:val="28"/>
        </w:rPr>
        <w:t>门思政理论课标准化建设，持续加强《形势与政策》课程建设，争取实现</w:t>
      </w:r>
      <w:r>
        <w:rPr>
          <w:rFonts w:ascii="仿宋" w:hAnsi="仿宋" w:eastAsia="仿宋"/>
          <w:color w:val="000000"/>
          <w:sz w:val="28"/>
          <w:szCs w:val="28"/>
        </w:rPr>
        <w:t>1</w:t>
      </w:r>
      <w:r>
        <w:rPr>
          <w:rFonts w:hint="eastAsia" w:ascii="仿宋" w:hAnsi="仿宋" w:eastAsia="仿宋"/>
          <w:color w:val="000000"/>
          <w:sz w:val="28"/>
          <w:szCs w:val="28"/>
        </w:rPr>
        <w:t>门以上优质通识课程。积极探索精品视频公开课、精品资源共享课和慕课的建设。强化思政课实践教学环节，深化“</w:t>
      </w:r>
      <w:r>
        <w:rPr>
          <w:rFonts w:ascii="仿宋" w:hAnsi="仿宋" w:eastAsia="仿宋"/>
          <w:color w:val="000000"/>
          <w:sz w:val="28"/>
          <w:szCs w:val="28"/>
        </w:rPr>
        <w:t>1+X</w:t>
      </w:r>
      <w:r>
        <w:rPr>
          <w:rFonts w:hint="eastAsia" w:ascii="仿宋" w:hAnsi="仿宋" w:eastAsia="仿宋"/>
          <w:color w:val="000000"/>
          <w:sz w:val="28"/>
          <w:szCs w:val="28"/>
        </w:rPr>
        <w:t>”实践教学改革，完善实践教学基地建设。争取获得校教学学术成果</w:t>
      </w:r>
      <w:r>
        <w:rPr>
          <w:rFonts w:ascii="仿宋" w:hAnsi="仿宋" w:eastAsia="仿宋"/>
          <w:color w:val="000000"/>
          <w:sz w:val="28"/>
          <w:szCs w:val="28"/>
        </w:rPr>
        <w:t>1</w:t>
      </w:r>
      <w:r>
        <w:rPr>
          <w:rFonts w:hint="eastAsia" w:ascii="仿宋" w:hAnsi="仿宋" w:eastAsia="仿宋"/>
          <w:color w:val="000000"/>
          <w:sz w:val="28"/>
          <w:szCs w:val="28"/>
        </w:rPr>
        <w:t>项以上，力争省级以上教学成果奖，努力获得省级以上教学改革项目立项。（附表</w:t>
      </w:r>
      <w:r>
        <w:rPr>
          <w:rFonts w:ascii="仿宋" w:hAnsi="仿宋" w:eastAsia="仿宋"/>
          <w:color w:val="000000"/>
          <w:sz w:val="28"/>
          <w:szCs w:val="28"/>
        </w:rPr>
        <w:t>1</w:t>
      </w:r>
      <w:r>
        <w:rPr>
          <w:rFonts w:hint="eastAsia" w:ascii="仿宋" w:hAnsi="仿宋" w:eastAsia="仿宋"/>
          <w:color w:val="000000"/>
          <w:sz w:val="28"/>
          <w:szCs w:val="28"/>
        </w:rPr>
        <w:t>）</w:t>
      </w:r>
    </w:p>
    <w:p>
      <w:pPr>
        <w:adjustRightInd w:val="0"/>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进一步创新研究生培养模式，切实强化以教学带科研，以科研促教学的运行机制。拓展研究生招生渠道，强化研究生招生宣传工作，提高生源质量。创建研究生实践基地</w:t>
      </w:r>
      <w:r>
        <w:rPr>
          <w:rFonts w:ascii="仿宋" w:hAnsi="仿宋" w:eastAsia="仿宋"/>
          <w:color w:val="000000"/>
          <w:sz w:val="28"/>
          <w:szCs w:val="28"/>
        </w:rPr>
        <w:t>1</w:t>
      </w:r>
      <w:r>
        <w:rPr>
          <w:rFonts w:hint="eastAsia" w:ascii="仿宋" w:hAnsi="仿宋" w:eastAsia="仿宋"/>
          <w:color w:val="000000"/>
          <w:sz w:val="28"/>
          <w:szCs w:val="28"/>
        </w:rPr>
        <w:t>个以上，研究生发表论文被一级期刊、</w:t>
      </w:r>
      <w:r>
        <w:rPr>
          <w:rFonts w:ascii="仿宋" w:hAnsi="仿宋" w:eastAsia="仿宋"/>
          <w:color w:val="000000"/>
          <w:sz w:val="28"/>
          <w:szCs w:val="28"/>
        </w:rPr>
        <w:t>CSSCI</w:t>
      </w:r>
      <w:r>
        <w:rPr>
          <w:rFonts w:hint="eastAsia" w:ascii="仿宋" w:hAnsi="仿宋" w:eastAsia="仿宋"/>
          <w:color w:val="000000"/>
          <w:sz w:val="28"/>
          <w:szCs w:val="28"/>
        </w:rPr>
        <w:t>期刊等收录的占比达到</w:t>
      </w:r>
      <w:r>
        <w:rPr>
          <w:rFonts w:ascii="仿宋" w:hAnsi="仿宋" w:eastAsia="仿宋"/>
          <w:color w:val="000000"/>
          <w:sz w:val="28"/>
          <w:szCs w:val="28"/>
        </w:rPr>
        <w:t>5%</w:t>
      </w:r>
      <w:r>
        <w:rPr>
          <w:rFonts w:hint="eastAsia" w:ascii="仿宋" w:hAnsi="仿宋" w:eastAsia="仿宋"/>
          <w:color w:val="000000"/>
          <w:sz w:val="28"/>
          <w:szCs w:val="28"/>
        </w:rPr>
        <w:t>以上。加强研究生学术活动管理，建立周学术活动制度，营造学术氛围、端正学术风气、培养学术抱负、加强学术道德建设，提高研究生培养质量。</w:t>
      </w:r>
    </w:p>
    <w:p>
      <w:pPr>
        <w:pStyle w:val="3"/>
        <w:adjustRightInd w:val="0"/>
        <w:snapToGrid w:val="0"/>
        <w:spacing w:after="0"/>
        <w:ind w:firstLine="551" w:firstLineChars="196"/>
        <w:rPr>
          <w:rFonts w:ascii="仿宋" w:hAnsi="仿宋" w:eastAsia="仿宋"/>
          <w:b/>
          <w:color w:val="000000"/>
          <w:sz w:val="28"/>
          <w:szCs w:val="28"/>
        </w:rPr>
      </w:pPr>
      <w:r>
        <w:rPr>
          <w:rFonts w:hint="eastAsia" w:ascii="仿宋" w:hAnsi="仿宋" w:eastAsia="仿宋"/>
          <w:b/>
          <w:color w:val="000000"/>
          <w:sz w:val="28"/>
          <w:szCs w:val="28"/>
        </w:rPr>
        <w:t>（三）队伍建设</w:t>
      </w:r>
    </w:p>
    <w:p>
      <w:pPr>
        <w:adjustRightInd w:val="0"/>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建立一支数量达标结构优化的师资队伍。“十三五”期间，学院争取专兼职教师总数达到</w:t>
      </w:r>
      <w:r>
        <w:rPr>
          <w:rFonts w:ascii="仿宋" w:hAnsi="仿宋" w:eastAsia="仿宋"/>
          <w:color w:val="000000"/>
          <w:sz w:val="28"/>
          <w:szCs w:val="28"/>
        </w:rPr>
        <w:t>55</w:t>
      </w:r>
      <w:r>
        <w:rPr>
          <w:rFonts w:hint="eastAsia" w:ascii="仿宋" w:hAnsi="仿宋" w:eastAsia="仿宋"/>
          <w:color w:val="000000"/>
          <w:sz w:val="28"/>
          <w:szCs w:val="28"/>
        </w:rPr>
        <w:t>人，职称、学历结构更加合理。其中，专职教师</w:t>
      </w:r>
      <w:r>
        <w:rPr>
          <w:rFonts w:ascii="仿宋" w:hAnsi="仿宋" w:eastAsia="仿宋"/>
          <w:color w:val="000000"/>
          <w:sz w:val="28"/>
          <w:szCs w:val="28"/>
        </w:rPr>
        <w:t>40</w:t>
      </w:r>
      <w:r>
        <w:rPr>
          <w:rFonts w:hint="eastAsia" w:ascii="仿宋" w:hAnsi="仿宋" w:eastAsia="仿宋"/>
          <w:color w:val="000000"/>
          <w:sz w:val="28"/>
          <w:szCs w:val="28"/>
        </w:rPr>
        <w:t>人，教授</w:t>
      </w:r>
      <w:r>
        <w:rPr>
          <w:rFonts w:ascii="仿宋" w:hAnsi="仿宋" w:eastAsia="仿宋"/>
          <w:color w:val="000000"/>
          <w:sz w:val="28"/>
          <w:szCs w:val="28"/>
        </w:rPr>
        <w:t>6</w:t>
      </w:r>
      <w:r>
        <w:rPr>
          <w:rFonts w:hint="eastAsia" w:ascii="仿宋" w:hAnsi="仿宋" w:eastAsia="仿宋"/>
          <w:color w:val="000000"/>
          <w:sz w:val="28"/>
          <w:szCs w:val="28"/>
        </w:rPr>
        <w:t>人，副教授</w:t>
      </w:r>
      <w:r>
        <w:rPr>
          <w:rFonts w:ascii="仿宋" w:hAnsi="仿宋" w:eastAsia="仿宋"/>
          <w:color w:val="000000"/>
          <w:sz w:val="28"/>
          <w:szCs w:val="28"/>
        </w:rPr>
        <w:t>16</w:t>
      </w:r>
      <w:r>
        <w:rPr>
          <w:rFonts w:hint="eastAsia" w:ascii="仿宋" w:hAnsi="仿宋" w:eastAsia="仿宋"/>
          <w:color w:val="000000"/>
          <w:sz w:val="28"/>
          <w:szCs w:val="28"/>
        </w:rPr>
        <w:t>人，高级职称比例达到</w:t>
      </w:r>
      <w:r>
        <w:rPr>
          <w:rFonts w:ascii="仿宋" w:hAnsi="仿宋" w:eastAsia="仿宋"/>
          <w:color w:val="000000"/>
          <w:sz w:val="28"/>
          <w:szCs w:val="28"/>
        </w:rPr>
        <w:t>50%</w:t>
      </w:r>
      <w:r>
        <w:rPr>
          <w:rFonts w:hint="eastAsia" w:ascii="仿宋" w:hAnsi="仿宋" w:eastAsia="仿宋"/>
          <w:color w:val="000000"/>
          <w:sz w:val="28"/>
          <w:szCs w:val="28"/>
        </w:rPr>
        <w:t>以上；博士学位</w:t>
      </w:r>
      <w:r>
        <w:rPr>
          <w:rFonts w:ascii="仿宋" w:hAnsi="仿宋" w:eastAsia="仿宋"/>
          <w:color w:val="000000"/>
          <w:sz w:val="28"/>
          <w:szCs w:val="28"/>
        </w:rPr>
        <w:t>25</w:t>
      </w:r>
      <w:r>
        <w:rPr>
          <w:rFonts w:hint="eastAsia" w:ascii="仿宋" w:hAnsi="仿宋" w:eastAsia="仿宋"/>
          <w:color w:val="000000"/>
          <w:sz w:val="28"/>
          <w:szCs w:val="28"/>
        </w:rPr>
        <w:t>人，比例达到</w:t>
      </w:r>
      <w:r>
        <w:rPr>
          <w:rFonts w:ascii="仿宋" w:hAnsi="仿宋" w:eastAsia="仿宋"/>
          <w:color w:val="000000"/>
          <w:sz w:val="28"/>
          <w:szCs w:val="28"/>
        </w:rPr>
        <w:t>60%</w:t>
      </w:r>
      <w:r>
        <w:rPr>
          <w:rFonts w:hint="eastAsia" w:ascii="仿宋" w:hAnsi="仿宋" w:eastAsia="仿宋"/>
          <w:color w:val="000000"/>
          <w:sz w:val="28"/>
          <w:szCs w:val="28"/>
        </w:rPr>
        <w:t>以上；访学率达到</w:t>
      </w:r>
      <w:r>
        <w:rPr>
          <w:rFonts w:ascii="仿宋" w:hAnsi="仿宋" w:eastAsia="仿宋"/>
          <w:color w:val="000000"/>
          <w:sz w:val="28"/>
          <w:szCs w:val="28"/>
        </w:rPr>
        <w:t>23%</w:t>
      </w:r>
      <w:r>
        <w:rPr>
          <w:rFonts w:hint="eastAsia" w:ascii="仿宋" w:hAnsi="仿宋" w:eastAsia="仿宋"/>
          <w:color w:val="000000"/>
          <w:sz w:val="28"/>
          <w:szCs w:val="28"/>
        </w:rPr>
        <w:t>以上；培养或引进领军人才</w:t>
      </w:r>
      <w:r>
        <w:rPr>
          <w:rFonts w:ascii="仿宋" w:hAnsi="仿宋" w:eastAsia="仿宋"/>
          <w:color w:val="000000"/>
          <w:sz w:val="28"/>
          <w:szCs w:val="28"/>
        </w:rPr>
        <w:t>1—2</w:t>
      </w:r>
      <w:r>
        <w:rPr>
          <w:rFonts w:hint="eastAsia" w:ascii="仿宋" w:hAnsi="仿宋" w:eastAsia="仿宋"/>
          <w:color w:val="000000"/>
          <w:sz w:val="28"/>
          <w:szCs w:val="28"/>
        </w:rPr>
        <w:t>人，卓越人才</w:t>
      </w:r>
      <w:r>
        <w:rPr>
          <w:rFonts w:ascii="仿宋" w:hAnsi="仿宋" w:eastAsia="仿宋"/>
          <w:color w:val="000000"/>
          <w:sz w:val="28"/>
          <w:szCs w:val="28"/>
        </w:rPr>
        <w:t>1—2</w:t>
      </w:r>
      <w:r>
        <w:rPr>
          <w:rFonts w:hint="eastAsia" w:ascii="仿宋" w:hAnsi="仿宋" w:eastAsia="仿宋"/>
          <w:color w:val="000000"/>
          <w:sz w:val="28"/>
          <w:szCs w:val="28"/>
        </w:rPr>
        <w:t>人。重视柔性引进高层次人才工作。（附表</w:t>
      </w:r>
      <w:r>
        <w:rPr>
          <w:rFonts w:ascii="仿宋" w:hAnsi="仿宋" w:eastAsia="仿宋"/>
          <w:color w:val="000000"/>
          <w:sz w:val="28"/>
          <w:szCs w:val="28"/>
        </w:rPr>
        <w:t>2</w:t>
      </w:r>
      <w:r>
        <w:rPr>
          <w:rFonts w:hint="eastAsia" w:ascii="仿宋" w:hAnsi="仿宋" w:eastAsia="仿宋"/>
          <w:color w:val="000000"/>
          <w:sz w:val="28"/>
          <w:szCs w:val="28"/>
        </w:rPr>
        <w:t>）</w:t>
      </w:r>
    </w:p>
    <w:p>
      <w:pPr>
        <w:adjustRightInd w:val="0"/>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建立一支高水平的教学科研团队。积极引进国内有一定影响力的学科带头人，特聘国内著名专家学者为马克思主义理论学科发展提供有效指导。组织思政课教师培养培训工作，做好全国高校思想政治理论课教学方法改革项目“择优推广计划”和全国、省高校优秀中青年思想政治理论课教师“择优资助计划”的推荐申报工作。加快教学科研团队建设，实行青年教师挂职锻炼计划、激励教师攻读学位，完善导师制、助教制。加强专兼职师资队伍的融合，形成结构合理的教学科研团队和研究生导学团队。</w:t>
      </w:r>
    </w:p>
    <w:p>
      <w:pPr>
        <w:adjustRightInd w:val="0"/>
        <w:snapToGrid w:val="0"/>
        <w:spacing w:line="560" w:lineRule="exact"/>
        <w:ind w:firstLine="551" w:firstLineChars="196"/>
        <w:rPr>
          <w:rFonts w:ascii="仿宋" w:hAnsi="仿宋" w:eastAsia="仿宋"/>
          <w:b/>
          <w:color w:val="000000"/>
          <w:sz w:val="28"/>
          <w:szCs w:val="28"/>
        </w:rPr>
      </w:pPr>
      <w:r>
        <w:rPr>
          <w:rFonts w:hint="eastAsia" w:ascii="仿宋" w:hAnsi="仿宋" w:eastAsia="仿宋"/>
          <w:b/>
          <w:color w:val="000000"/>
          <w:sz w:val="28"/>
          <w:szCs w:val="28"/>
        </w:rPr>
        <w:t>（四）科学研究</w:t>
      </w:r>
    </w:p>
    <w:p>
      <w:pPr>
        <w:autoSpaceDE w:val="0"/>
        <w:autoSpaceDN w:val="0"/>
        <w:adjustRightInd w:val="0"/>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进一步凝聚学科研究方向与研究重点，立足高层次课题的申报以及研究，培养一支方向明确队伍稳定的研究团队。主动对接学校</w:t>
      </w:r>
      <w:r>
        <w:rPr>
          <w:rFonts w:ascii="仿宋" w:hAnsi="仿宋" w:eastAsia="仿宋"/>
          <w:color w:val="000000"/>
          <w:sz w:val="28"/>
          <w:szCs w:val="28"/>
        </w:rPr>
        <w:t>1030</w:t>
      </w:r>
      <w:r>
        <w:rPr>
          <w:rFonts w:hint="eastAsia" w:ascii="仿宋" w:hAnsi="仿宋" w:eastAsia="仿宋"/>
          <w:color w:val="000000"/>
          <w:sz w:val="28"/>
          <w:szCs w:val="28"/>
        </w:rPr>
        <w:t>发展战略重点，积极拓宽课题申报渠道，加强课题申报辅导，鼓励教师加强与地方合作。制订学院科研奖励制度，力争产出一批高水平的研究成果。</w:t>
      </w:r>
    </w:p>
    <w:p>
      <w:pPr>
        <w:adjustRightInd w:val="0"/>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“十三五”期间，学院争取获得国家级科研项目</w:t>
      </w:r>
      <w:r>
        <w:rPr>
          <w:rFonts w:ascii="仿宋" w:hAnsi="仿宋" w:eastAsia="仿宋"/>
          <w:color w:val="000000"/>
          <w:sz w:val="28"/>
          <w:szCs w:val="28"/>
        </w:rPr>
        <w:t>2—3</w:t>
      </w:r>
      <w:r>
        <w:rPr>
          <w:rFonts w:hint="eastAsia" w:ascii="仿宋" w:hAnsi="仿宋" w:eastAsia="仿宋"/>
          <w:color w:val="000000"/>
          <w:sz w:val="28"/>
          <w:szCs w:val="28"/>
        </w:rPr>
        <w:t>项（其中参与国际合作项目</w:t>
      </w:r>
      <w:r>
        <w:rPr>
          <w:rFonts w:ascii="仿宋" w:hAnsi="仿宋" w:eastAsia="仿宋"/>
          <w:color w:val="000000"/>
          <w:sz w:val="28"/>
          <w:szCs w:val="28"/>
        </w:rPr>
        <w:t>1</w:t>
      </w:r>
      <w:r>
        <w:rPr>
          <w:rFonts w:hint="eastAsia" w:ascii="仿宋" w:hAnsi="仿宋" w:eastAsia="仿宋"/>
          <w:color w:val="000000"/>
          <w:sz w:val="28"/>
          <w:szCs w:val="28"/>
        </w:rPr>
        <w:t>项），省部级科研项目</w:t>
      </w:r>
      <w:r>
        <w:rPr>
          <w:rFonts w:ascii="仿宋" w:hAnsi="仿宋" w:eastAsia="仿宋"/>
          <w:color w:val="000000"/>
          <w:sz w:val="28"/>
          <w:szCs w:val="28"/>
        </w:rPr>
        <w:t>12</w:t>
      </w:r>
      <w:r>
        <w:rPr>
          <w:rFonts w:hint="eastAsia" w:ascii="仿宋" w:hAnsi="仿宋" w:eastAsia="仿宋"/>
          <w:color w:val="000000"/>
          <w:sz w:val="28"/>
          <w:szCs w:val="28"/>
        </w:rPr>
        <w:t>项，科研项目到位经费</w:t>
      </w:r>
      <w:r>
        <w:rPr>
          <w:rFonts w:ascii="仿宋" w:hAnsi="仿宋" w:eastAsia="仿宋"/>
          <w:color w:val="000000"/>
          <w:sz w:val="28"/>
          <w:szCs w:val="28"/>
        </w:rPr>
        <w:t>150</w:t>
      </w:r>
      <w:r>
        <w:rPr>
          <w:rFonts w:hint="eastAsia" w:ascii="仿宋" w:hAnsi="仿宋" w:eastAsia="仿宋"/>
          <w:color w:val="000000"/>
          <w:sz w:val="28"/>
          <w:szCs w:val="28"/>
        </w:rPr>
        <w:t>万元；国家一级刊物发表学术论文</w:t>
      </w:r>
      <w:r>
        <w:rPr>
          <w:rFonts w:ascii="仿宋" w:hAnsi="仿宋" w:eastAsia="仿宋"/>
          <w:color w:val="000000"/>
          <w:sz w:val="28"/>
          <w:szCs w:val="28"/>
        </w:rPr>
        <w:t>15</w:t>
      </w:r>
      <w:r>
        <w:rPr>
          <w:rFonts w:hint="eastAsia" w:ascii="仿宋" w:hAnsi="仿宋" w:eastAsia="仿宋"/>
          <w:color w:val="000000"/>
          <w:sz w:val="28"/>
          <w:szCs w:val="28"/>
        </w:rPr>
        <w:t>篇，</w:t>
      </w:r>
      <w:r>
        <w:rPr>
          <w:rFonts w:ascii="仿宋" w:hAnsi="仿宋" w:eastAsia="仿宋"/>
          <w:color w:val="000000"/>
          <w:sz w:val="28"/>
          <w:szCs w:val="28"/>
        </w:rPr>
        <w:t>CSSCI</w:t>
      </w:r>
      <w:r>
        <w:rPr>
          <w:rFonts w:hint="eastAsia" w:ascii="仿宋" w:hAnsi="仿宋" w:eastAsia="仿宋"/>
          <w:color w:val="000000"/>
          <w:sz w:val="28"/>
          <w:szCs w:val="28"/>
        </w:rPr>
        <w:t>等检索论文</w:t>
      </w:r>
      <w:r>
        <w:rPr>
          <w:rFonts w:ascii="仿宋" w:hAnsi="仿宋" w:eastAsia="仿宋"/>
          <w:color w:val="000000"/>
          <w:sz w:val="28"/>
          <w:szCs w:val="28"/>
        </w:rPr>
        <w:t>20</w:t>
      </w:r>
      <w:r>
        <w:rPr>
          <w:rFonts w:hint="eastAsia" w:ascii="仿宋" w:hAnsi="仿宋" w:eastAsia="仿宋"/>
          <w:color w:val="000000"/>
          <w:sz w:val="28"/>
          <w:szCs w:val="28"/>
        </w:rPr>
        <w:t>篇以上；出版学术专著</w:t>
      </w:r>
      <w:r>
        <w:rPr>
          <w:rFonts w:ascii="仿宋" w:hAnsi="仿宋" w:eastAsia="仿宋"/>
          <w:color w:val="000000"/>
          <w:sz w:val="28"/>
          <w:szCs w:val="28"/>
        </w:rPr>
        <w:t>17</w:t>
      </w:r>
      <w:r>
        <w:rPr>
          <w:rFonts w:hint="eastAsia" w:ascii="仿宋" w:hAnsi="仿宋" w:eastAsia="仿宋"/>
          <w:color w:val="000000"/>
          <w:sz w:val="28"/>
          <w:szCs w:val="28"/>
        </w:rPr>
        <w:t>部；获得省部级社科优秀成果奖</w:t>
      </w:r>
      <w:r>
        <w:rPr>
          <w:rFonts w:ascii="仿宋" w:hAnsi="仿宋" w:eastAsia="仿宋"/>
          <w:color w:val="000000"/>
          <w:sz w:val="28"/>
          <w:szCs w:val="28"/>
        </w:rPr>
        <w:t>2-3</w:t>
      </w:r>
      <w:r>
        <w:rPr>
          <w:rFonts w:hint="eastAsia" w:ascii="仿宋" w:hAnsi="仿宋" w:eastAsia="仿宋"/>
          <w:color w:val="000000"/>
          <w:sz w:val="28"/>
          <w:szCs w:val="28"/>
        </w:rPr>
        <w:t>项。（附表</w:t>
      </w:r>
      <w:r>
        <w:rPr>
          <w:rFonts w:ascii="仿宋" w:hAnsi="仿宋" w:eastAsia="仿宋"/>
          <w:color w:val="000000"/>
          <w:sz w:val="28"/>
          <w:szCs w:val="28"/>
        </w:rPr>
        <w:t>3</w:t>
      </w:r>
      <w:r>
        <w:rPr>
          <w:rFonts w:hint="eastAsia" w:ascii="仿宋" w:hAnsi="仿宋" w:eastAsia="仿宋"/>
          <w:color w:val="000000"/>
          <w:sz w:val="28"/>
          <w:szCs w:val="28"/>
        </w:rPr>
        <w:t>）</w:t>
      </w:r>
    </w:p>
    <w:p>
      <w:pPr>
        <w:adjustRightInd w:val="0"/>
        <w:snapToGrid w:val="0"/>
        <w:spacing w:line="560" w:lineRule="exact"/>
        <w:ind w:firstLine="551" w:firstLineChars="196"/>
        <w:rPr>
          <w:rFonts w:ascii="仿宋" w:hAnsi="仿宋" w:eastAsia="仿宋"/>
          <w:color w:val="000000"/>
          <w:sz w:val="28"/>
          <w:szCs w:val="28"/>
        </w:rPr>
      </w:pPr>
      <w:r>
        <w:rPr>
          <w:rFonts w:hint="eastAsia" w:ascii="仿宋" w:hAnsi="仿宋" w:eastAsia="仿宋"/>
          <w:b/>
          <w:color w:val="000000"/>
          <w:sz w:val="28"/>
          <w:szCs w:val="28"/>
        </w:rPr>
        <w:t>（五）平台建设</w:t>
      </w:r>
    </w:p>
    <w:p>
      <w:pPr>
        <w:adjustRightInd w:val="0"/>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健全工作机制，加强统筹协调，深化浙江省中国特色社会主义理论体系研究中心研究基地、浙江农林大学中国特色社会主义理论体系研究中心的建设，积极培育省级重点研究基地。建立与省内外一流教学和科研单位长期、稳定的培训交流平台，建立完善若干校外研究基地和社会实践基地。建立完善校内的马克思主义理论和思想政治教育研究机构，加强对校内理论型社团组织的指导。加强马克思主义理论二级学科及其相关教研室、研究所的建设管理。积极融入学校“</w:t>
      </w:r>
      <w:r>
        <w:rPr>
          <w:rFonts w:ascii="仿宋" w:hAnsi="仿宋" w:eastAsia="仿宋"/>
          <w:color w:val="000000"/>
          <w:sz w:val="28"/>
          <w:szCs w:val="28"/>
        </w:rPr>
        <w:t>1030</w:t>
      </w:r>
      <w:r>
        <w:rPr>
          <w:rFonts w:hint="eastAsia" w:ascii="仿宋" w:hAnsi="仿宋" w:eastAsia="仿宋"/>
          <w:color w:val="000000"/>
          <w:sz w:val="28"/>
          <w:szCs w:val="28"/>
        </w:rPr>
        <w:t>”发展战略相关平台机构，发挥马克思主义理论学科的理论基础作用。</w:t>
      </w:r>
    </w:p>
    <w:p>
      <w:pPr>
        <w:adjustRightInd w:val="0"/>
        <w:snapToGrid w:val="0"/>
        <w:spacing w:line="560" w:lineRule="exact"/>
        <w:ind w:firstLine="551" w:firstLineChars="196"/>
        <w:rPr>
          <w:rFonts w:ascii="仿宋" w:hAnsi="仿宋" w:eastAsia="仿宋"/>
          <w:b/>
          <w:color w:val="000000"/>
          <w:sz w:val="28"/>
          <w:szCs w:val="28"/>
        </w:rPr>
      </w:pPr>
      <w:r>
        <w:rPr>
          <w:rFonts w:hint="eastAsia" w:ascii="仿宋" w:hAnsi="仿宋" w:eastAsia="仿宋"/>
          <w:b/>
          <w:color w:val="000000"/>
          <w:sz w:val="28"/>
          <w:szCs w:val="28"/>
        </w:rPr>
        <w:t>（六）社会服务</w:t>
      </w:r>
    </w:p>
    <w:p>
      <w:pPr>
        <w:autoSpaceDE w:val="0"/>
        <w:autoSpaceDN w:val="0"/>
        <w:adjustRightInd w:val="0"/>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发挥学科特色优势，瞄准国家经济社会发展需要，面向地方政府、企事业单位和基层群众，积极开展学术讲座、社会调研、政策宣讲活动，努力拓宽服务社会领域。积极参与浙江省地方决策咨询及应用对策研究，参与中国高校智库建设和浙江省地方高校智库建设。积极为浙江农林大学农林技术推广中心提供展示材料。主动对接基层实际需要，拓展“百校联百镇”思政实践教学基地服务功能。</w:t>
      </w:r>
    </w:p>
    <w:p>
      <w:pPr>
        <w:adjustRightInd w:val="0"/>
        <w:snapToGrid w:val="0"/>
        <w:spacing w:line="560" w:lineRule="exact"/>
        <w:ind w:firstLine="413" w:firstLineChars="147"/>
        <w:rPr>
          <w:rFonts w:ascii="仿宋" w:hAnsi="仿宋" w:eastAsia="仿宋"/>
          <w:b/>
          <w:color w:val="000000"/>
          <w:sz w:val="28"/>
          <w:szCs w:val="28"/>
        </w:rPr>
      </w:pPr>
      <w:r>
        <w:rPr>
          <w:rFonts w:hint="eastAsia" w:ascii="仿宋" w:hAnsi="仿宋" w:eastAsia="仿宋"/>
          <w:b/>
          <w:color w:val="000000"/>
          <w:sz w:val="28"/>
          <w:szCs w:val="28"/>
        </w:rPr>
        <w:t>（七）学院文化</w:t>
      </w:r>
    </w:p>
    <w:p>
      <w:pPr>
        <w:autoSpaceDE w:val="0"/>
        <w:autoSpaceDN w:val="0"/>
        <w:adjustRightInd w:val="0"/>
        <w:snapToGrid w:val="0"/>
        <w:spacing w:line="560" w:lineRule="exact"/>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凝练学院文化，发挥马克思主义学院文化在大学文化中的引领和导向作用。旗帜鲜明地坚持马克思主义学院的马克思主义属性，理直气壮地坚持“在马信马、在马学马、在马研马、在马讲马、在马用马”，建设优良的院风、教风、学风，营造有利于学院科学发展、教职员工和谐共进的良好文化氛围。</w:t>
      </w:r>
    </w:p>
    <w:p>
      <w:pPr>
        <w:autoSpaceDE w:val="0"/>
        <w:autoSpaceDN w:val="0"/>
        <w:adjustRightInd w:val="0"/>
        <w:snapToGrid w:val="0"/>
        <w:spacing w:line="560" w:lineRule="exact"/>
        <w:ind w:firstLine="560" w:firstLineChars="200"/>
        <w:jc w:val="left"/>
        <w:rPr>
          <w:rFonts w:ascii="仿宋" w:hAnsi="仿宋" w:eastAsia="仿宋"/>
          <w:color w:val="000000"/>
          <w:sz w:val="28"/>
          <w:szCs w:val="28"/>
        </w:rPr>
      </w:pPr>
    </w:p>
    <w:p>
      <w:pPr>
        <w:pStyle w:val="3"/>
        <w:adjustRightInd w:val="0"/>
        <w:snapToGrid w:val="0"/>
        <w:spacing w:after="0" w:line="240" w:lineRule="auto"/>
        <w:ind w:firstLine="0" w:firstLineChars="0"/>
        <w:rPr>
          <w:rFonts w:ascii="仿宋" w:hAnsi="仿宋" w:eastAsia="仿宋"/>
          <w:b/>
          <w:bCs/>
          <w:color w:val="000000"/>
          <w:sz w:val="28"/>
          <w:szCs w:val="28"/>
        </w:rPr>
      </w:pPr>
    </w:p>
    <w:p>
      <w:pPr>
        <w:pStyle w:val="3"/>
        <w:adjustRightInd w:val="0"/>
        <w:snapToGrid w:val="0"/>
        <w:spacing w:after="0" w:line="240" w:lineRule="auto"/>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五、“十三五”期间学院发展的条件保障</w:t>
      </w:r>
    </w:p>
    <w:p>
      <w:pPr>
        <w:adjustRightInd w:val="0"/>
        <w:snapToGrid w:val="0"/>
        <w:spacing w:line="560" w:lineRule="exact"/>
        <w:ind w:firstLine="551" w:firstLineChars="196"/>
        <w:rPr>
          <w:rFonts w:ascii="仿宋" w:hAnsi="仿宋" w:eastAsia="仿宋"/>
          <w:b/>
          <w:color w:val="000000"/>
          <w:sz w:val="28"/>
          <w:szCs w:val="28"/>
        </w:rPr>
      </w:pPr>
      <w:r>
        <w:rPr>
          <w:rFonts w:hint="eastAsia" w:ascii="仿宋" w:hAnsi="仿宋" w:eastAsia="仿宋"/>
          <w:b/>
          <w:color w:val="000000"/>
          <w:sz w:val="28"/>
          <w:szCs w:val="28"/>
        </w:rPr>
        <w:t>（一）组织保障</w:t>
      </w:r>
    </w:p>
    <w:p>
      <w:pPr>
        <w:adjustRightInd w:val="0"/>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加强对“十三五”规划实施工</w:t>
      </w:r>
      <w:r>
        <w:rPr>
          <w:rFonts w:hint="eastAsia" w:ascii="仿宋" w:hAnsi="仿宋" w:eastAsia="仿宋" w:cs="Times"/>
          <w:color w:val="000000"/>
          <w:kern w:val="0"/>
          <w:sz w:val="28"/>
          <w:szCs w:val="28"/>
        </w:rPr>
        <w:t>作的领导</w:t>
      </w:r>
      <w:r>
        <w:rPr>
          <w:rFonts w:hint="eastAsia" w:ascii="仿宋" w:hAnsi="仿宋" w:eastAsia="仿宋"/>
          <w:color w:val="000000"/>
          <w:sz w:val="28"/>
          <w:szCs w:val="28"/>
        </w:rPr>
        <w:t>，制定学院发展各项建设任务的具体计划，分解细化建设任务。</w:t>
      </w:r>
      <w:r>
        <w:rPr>
          <w:rFonts w:hint="eastAsia" w:ascii="仿宋" w:hAnsi="仿宋" w:eastAsia="仿宋" w:cs="Times"/>
          <w:color w:val="000000"/>
          <w:kern w:val="0"/>
          <w:sz w:val="28"/>
          <w:szCs w:val="28"/>
        </w:rPr>
        <w:t>强化规划的组织化实施，完善学院内部管理机构设置，适当增设教研室和研究所。注重规划实施的监督检查，</w:t>
      </w:r>
      <w:r>
        <w:rPr>
          <w:rFonts w:hint="eastAsia" w:ascii="仿宋" w:hAnsi="仿宋" w:eastAsia="仿宋"/>
          <w:color w:val="000000"/>
          <w:sz w:val="28"/>
          <w:szCs w:val="28"/>
        </w:rPr>
        <w:t>确保目标任务落到实处。</w:t>
      </w:r>
    </w:p>
    <w:p>
      <w:pPr>
        <w:adjustRightInd w:val="0"/>
        <w:snapToGrid w:val="0"/>
        <w:spacing w:line="560" w:lineRule="exact"/>
        <w:ind w:firstLine="551" w:firstLineChars="196"/>
        <w:rPr>
          <w:rFonts w:ascii="仿宋" w:hAnsi="仿宋" w:eastAsia="仿宋"/>
          <w:b/>
          <w:color w:val="000000"/>
          <w:sz w:val="28"/>
          <w:szCs w:val="28"/>
        </w:rPr>
      </w:pPr>
      <w:r>
        <w:rPr>
          <w:rFonts w:hint="eastAsia" w:ascii="仿宋" w:hAnsi="仿宋" w:eastAsia="仿宋"/>
          <w:b/>
          <w:color w:val="000000"/>
          <w:sz w:val="28"/>
          <w:szCs w:val="28"/>
        </w:rPr>
        <w:t>（二）制度保障</w:t>
      </w:r>
    </w:p>
    <w:p>
      <w:pPr>
        <w:adjustRightInd w:val="0"/>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建立健全学院党政联席会议制度、教代会制度、学术委员会制度等各项规章制度，明晰各职能机构的职责和权利，保证学院依法办学和有序运行。进一步优化学术评价和业绩考核制度。</w:t>
      </w:r>
    </w:p>
    <w:p>
      <w:pPr>
        <w:adjustRightInd w:val="0"/>
        <w:snapToGrid w:val="0"/>
        <w:spacing w:line="560" w:lineRule="exact"/>
        <w:ind w:firstLine="551" w:firstLineChars="196"/>
        <w:rPr>
          <w:rFonts w:ascii="仿宋" w:hAnsi="仿宋" w:eastAsia="仿宋"/>
          <w:b/>
          <w:sz w:val="28"/>
          <w:szCs w:val="28"/>
        </w:rPr>
      </w:pPr>
      <w:r>
        <w:rPr>
          <w:rFonts w:hint="eastAsia" w:ascii="仿宋" w:hAnsi="仿宋" w:eastAsia="仿宋"/>
          <w:b/>
          <w:sz w:val="28"/>
          <w:szCs w:val="28"/>
        </w:rPr>
        <w:t>（三）经费保障</w:t>
      </w:r>
    </w:p>
    <w:p>
      <w:pPr>
        <w:pStyle w:val="4"/>
        <w:adjustRightInd w:val="0"/>
        <w:snapToGrid w:val="0"/>
        <w:ind w:firstLine="560" w:firstLineChars="200"/>
        <w:rPr>
          <w:rFonts w:ascii="仿宋" w:hAnsi="仿宋" w:eastAsia="仿宋"/>
          <w:color w:val="000000"/>
          <w:sz w:val="28"/>
          <w:szCs w:val="28"/>
        </w:rPr>
      </w:pPr>
      <w:r>
        <w:rPr>
          <w:rFonts w:hint="eastAsia" w:ascii="仿宋" w:hAnsi="仿宋" w:eastAsia="仿宋"/>
          <w:color w:val="000000"/>
          <w:sz w:val="28"/>
          <w:szCs w:val="28"/>
        </w:rPr>
        <w:t>落实教育部有关规定，学校确保在校本科生每生每年不低于</w:t>
      </w:r>
      <w:r>
        <w:rPr>
          <w:rFonts w:ascii="仿宋" w:hAnsi="仿宋" w:eastAsia="仿宋"/>
          <w:color w:val="000000"/>
          <w:sz w:val="28"/>
          <w:szCs w:val="28"/>
        </w:rPr>
        <w:t>20</w:t>
      </w:r>
      <w:r>
        <w:rPr>
          <w:rFonts w:hint="eastAsia" w:ascii="仿宋" w:hAnsi="仿宋" w:eastAsia="仿宋"/>
          <w:color w:val="000000"/>
          <w:sz w:val="28"/>
          <w:szCs w:val="28"/>
        </w:rPr>
        <w:t>元的经费用于教师的学术交流和社会考察，确保马克思主义理论学科建设及思想政治理论课课程建设专项经费（包括思政理论课教育教学研究专项课题经费）用于学科教师的教学和科研工作，确保将马克思主义理论学科及其思想政治理论课作为学校重点学科重点课程进行建设的相关经费，确保用于大学生思想政治理论课社会实践的必要经费。各项经费列入学校年度预算。</w:t>
      </w:r>
    </w:p>
    <w:p>
      <w:pPr>
        <w:adjustRightInd w:val="0"/>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学院通过健全制度管好用好各类经费，保障教学投入、教学实践、教师进修访学、学术交流和各类奖励。积极争取学校和省级一流学科、教学科研团队等建设经费和人才引进经费。</w:t>
      </w:r>
    </w:p>
    <w:p>
      <w:pPr>
        <w:pStyle w:val="4"/>
        <w:adjustRightInd w:val="0"/>
        <w:snapToGrid w:val="0"/>
        <w:ind w:firstLine="551" w:firstLineChars="196"/>
        <w:rPr>
          <w:rFonts w:ascii="仿宋" w:hAnsi="仿宋" w:eastAsia="仿宋"/>
          <w:b/>
          <w:color w:val="000000"/>
          <w:sz w:val="28"/>
          <w:szCs w:val="28"/>
        </w:rPr>
      </w:pPr>
      <w:r>
        <w:rPr>
          <w:rFonts w:hint="eastAsia" w:ascii="仿宋" w:hAnsi="仿宋" w:eastAsia="仿宋"/>
          <w:b/>
          <w:color w:val="000000"/>
          <w:sz w:val="28"/>
          <w:szCs w:val="28"/>
        </w:rPr>
        <w:t>（四）其他保障</w:t>
      </w:r>
    </w:p>
    <w:p>
      <w:pPr>
        <w:pStyle w:val="4"/>
        <w:adjustRightInd w:val="0"/>
        <w:snapToGrid w:val="0"/>
        <w:ind w:firstLine="560" w:firstLineChars="200"/>
        <w:rPr>
          <w:rFonts w:ascii="仿宋" w:hAnsi="仿宋" w:eastAsia="仿宋"/>
          <w:color w:val="000000"/>
          <w:sz w:val="28"/>
          <w:szCs w:val="28"/>
        </w:rPr>
      </w:pPr>
      <w:r>
        <w:rPr>
          <w:rFonts w:hint="eastAsia" w:ascii="仿宋" w:hAnsi="仿宋" w:eastAsia="仿宋" w:cs="Times"/>
          <w:color w:val="000000"/>
          <w:kern w:val="0"/>
          <w:sz w:val="28"/>
          <w:szCs w:val="28"/>
        </w:rPr>
        <w:t>加强硬件建设，</w:t>
      </w:r>
      <w:r>
        <w:rPr>
          <w:rFonts w:hint="eastAsia" w:ascii="仿宋" w:hAnsi="仿宋" w:eastAsia="仿宋"/>
          <w:color w:val="000000"/>
          <w:sz w:val="28"/>
          <w:szCs w:val="28"/>
        </w:rPr>
        <w:t>进一步完善学院各办公室和教研室的基础性办公设施。加强与学校图书馆的合作，不断充实学院各类相关研究资料，尤其是基础性文献资料，逐步建立和完善学院资料室。加强学院网站、微信等媒体建设，主动展示学院发展成就和师生风采。</w:t>
      </w:r>
    </w:p>
    <w:p>
      <w:pPr>
        <w:autoSpaceDE w:val="0"/>
        <w:autoSpaceDN w:val="0"/>
        <w:adjustRightInd w:val="0"/>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马克思主义学院已经站在了一个新起点，面对意识形态与思想政治理论教育工作的新要求，面对马克思主义学院建设的新机遇与新挑战，我们将在学校党委的正确领导下，坚持马克思主义的指导地位，以主人翁姿态勇于担当、以改革创新补齐短板、以“严”和“实”的作风抓好“十三五”发展规划各项任务的落实，用智慧和汗水谱写马克思主义学院发展的新篇章，为浙江农林大学建成国内知名的生态性创业型大学贡献应有的力量。</w:t>
      </w:r>
    </w:p>
    <w:p>
      <w:pPr>
        <w:autoSpaceDE w:val="0"/>
        <w:autoSpaceDN w:val="0"/>
        <w:adjustRightInd w:val="0"/>
        <w:snapToGrid w:val="0"/>
        <w:spacing w:line="560" w:lineRule="exact"/>
        <w:rPr>
          <w:rFonts w:ascii="仿宋" w:hAnsi="仿宋" w:eastAsia="仿宋"/>
          <w:color w:val="000000"/>
          <w:sz w:val="32"/>
          <w:szCs w:val="32"/>
        </w:rPr>
      </w:pPr>
    </w:p>
    <w:p>
      <w:pPr>
        <w:autoSpaceDE w:val="0"/>
        <w:autoSpaceDN w:val="0"/>
        <w:adjustRightInd w:val="0"/>
        <w:snapToGrid w:val="0"/>
        <w:spacing w:line="560" w:lineRule="exact"/>
        <w:rPr>
          <w:rFonts w:ascii="仿宋" w:hAnsi="仿宋" w:eastAsia="仿宋"/>
          <w:b/>
          <w:color w:val="000000"/>
          <w:sz w:val="32"/>
          <w:szCs w:val="32"/>
        </w:rPr>
      </w:pPr>
      <w:r>
        <w:rPr>
          <w:rFonts w:hint="eastAsia" w:ascii="仿宋" w:hAnsi="仿宋" w:eastAsia="仿宋"/>
          <w:b/>
          <w:color w:val="000000"/>
          <w:sz w:val="32"/>
          <w:szCs w:val="32"/>
        </w:rPr>
        <w:t>附：</w:t>
      </w:r>
    </w:p>
    <w:p>
      <w:pPr>
        <w:spacing w:line="560" w:lineRule="exact"/>
        <w:ind w:firstLine="562" w:firstLineChars="200"/>
        <w:jc w:val="center"/>
        <w:rPr>
          <w:rFonts w:ascii="仿宋" w:hAnsi="仿宋" w:eastAsia="仿宋"/>
          <w:b/>
          <w:color w:val="000000"/>
          <w:sz w:val="28"/>
          <w:szCs w:val="28"/>
        </w:rPr>
      </w:pPr>
      <w:r>
        <w:rPr>
          <w:rFonts w:hint="eastAsia" w:ascii="仿宋" w:hAnsi="仿宋" w:eastAsia="仿宋"/>
          <w:b/>
          <w:color w:val="000000"/>
          <w:sz w:val="28"/>
          <w:szCs w:val="28"/>
        </w:rPr>
        <w:t>表</w:t>
      </w:r>
      <w:r>
        <w:rPr>
          <w:rFonts w:ascii="仿宋" w:hAnsi="仿宋" w:eastAsia="仿宋"/>
          <w:b/>
          <w:color w:val="000000"/>
          <w:sz w:val="28"/>
          <w:szCs w:val="28"/>
        </w:rPr>
        <w:t xml:space="preserve">1  </w:t>
      </w:r>
      <w:r>
        <w:rPr>
          <w:rFonts w:hint="eastAsia" w:ascii="仿宋" w:hAnsi="仿宋" w:eastAsia="仿宋"/>
          <w:b/>
          <w:color w:val="000000"/>
          <w:sz w:val="28"/>
          <w:szCs w:val="28"/>
        </w:rPr>
        <w:t>马克思主义学院“十三五”期间教学建设任务</w:t>
      </w:r>
    </w:p>
    <w:tbl>
      <w:tblPr>
        <w:tblStyle w:val="12"/>
        <w:tblW w:w="92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143"/>
        <w:gridCol w:w="1143"/>
        <w:gridCol w:w="1271"/>
        <w:gridCol w:w="1101"/>
        <w:gridCol w:w="1655"/>
        <w:gridCol w:w="1186"/>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6" w:type="dxa"/>
            <w:vAlign w:val="center"/>
          </w:tcPr>
          <w:p>
            <w:pPr>
              <w:spacing w:line="400" w:lineRule="exact"/>
              <w:jc w:val="center"/>
              <w:rPr>
                <w:rFonts w:ascii="仿宋" w:hAnsi="仿宋" w:eastAsia="仿宋"/>
                <w:bCs/>
                <w:color w:val="000000"/>
                <w:sz w:val="24"/>
              </w:rPr>
            </w:pPr>
            <w:r>
              <w:rPr>
                <w:rFonts w:hint="eastAsia" w:ascii="仿宋" w:hAnsi="仿宋" w:eastAsia="仿宋"/>
                <w:bCs/>
                <w:color w:val="000000"/>
                <w:sz w:val="24"/>
              </w:rPr>
              <w:t>省级及以上教改项目</w:t>
            </w:r>
          </w:p>
        </w:tc>
        <w:tc>
          <w:tcPr>
            <w:tcW w:w="1143" w:type="dxa"/>
            <w:vAlign w:val="center"/>
          </w:tcPr>
          <w:p>
            <w:pPr>
              <w:spacing w:line="400" w:lineRule="exact"/>
              <w:jc w:val="center"/>
              <w:rPr>
                <w:rFonts w:ascii="仿宋" w:hAnsi="仿宋" w:eastAsia="仿宋"/>
                <w:bCs/>
                <w:color w:val="000000"/>
                <w:sz w:val="24"/>
              </w:rPr>
            </w:pPr>
            <w:r>
              <w:rPr>
                <w:rFonts w:hint="eastAsia" w:ascii="仿宋" w:hAnsi="仿宋" w:eastAsia="仿宋"/>
                <w:bCs/>
                <w:color w:val="000000"/>
                <w:sz w:val="24"/>
              </w:rPr>
              <w:t>新建标准化课程（门）</w:t>
            </w:r>
          </w:p>
        </w:tc>
        <w:tc>
          <w:tcPr>
            <w:tcW w:w="1143" w:type="dxa"/>
            <w:vAlign w:val="center"/>
          </w:tcPr>
          <w:p>
            <w:pPr>
              <w:spacing w:line="400" w:lineRule="exact"/>
              <w:jc w:val="center"/>
              <w:rPr>
                <w:rFonts w:ascii="仿宋" w:hAnsi="仿宋" w:eastAsia="仿宋"/>
                <w:bCs/>
                <w:color w:val="000000"/>
                <w:sz w:val="24"/>
              </w:rPr>
            </w:pPr>
            <w:r>
              <w:rPr>
                <w:rFonts w:hint="eastAsia" w:ascii="仿宋" w:hAnsi="仿宋" w:eastAsia="仿宋"/>
                <w:bCs/>
                <w:color w:val="000000"/>
                <w:sz w:val="24"/>
              </w:rPr>
              <w:t>新建优质通识课（门）</w:t>
            </w:r>
          </w:p>
        </w:tc>
        <w:tc>
          <w:tcPr>
            <w:tcW w:w="1271" w:type="dxa"/>
            <w:vAlign w:val="center"/>
          </w:tcPr>
          <w:p>
            <w:pPr>
              <w:spacing w:line="400" w:lineRule="exact"/>
              <w:jc w:val="center"/>
              <w:rPr>
                <w:rFonts w:ascii="仿宋" w:hAnsi="仿宋" w:eastAsia="仿宋"/>
                <w:bCs/>
                <w:color w:val="000000"/>
                <w:sz w:val="24"/>
              </w:rPr>
            </w:pPr>
            <w:r>
              <w:rPr>
                <w:rFonts w:hint="eastAsia" w:ascii="仿宋" w:hAnsi="仿宋" w:eastAsia="仿宋"/>
                <w:bCs/>
                <w:color w:val="000000"/>
                <w:sz w:val="24"/>
              </w:rPr>
              <w:t>课堂教学改革课程门数（门）</w:t>
            </w:r>
          </w:p>
        </w:tc>
        <w:tc>
          <w:tcPr>
            <w:tcW w:w="1101" w:type="dxa"/>
            <w:vAlign w:val="center"/>
          </w:tcPr>
          <w:p>
            <w:pPr>
              <w:spacing w:line="400" w:lineRule="exact"/>
              <w:jc w:val="center"/>
              <w:rPr>
                <w:rFonts w:ascii="仿宋" w:hAnsi="仿宋" w:eastAsia="仿宋"/>
                <w:bCs/>
                <w:color w:val="000000"/>
                <w:sz w:val="24"/>
              </w:rPr>
            </w:pPr>
            <w:r>
              <w:rPr>
                <w:rFonts w:hint="eastAsia" w:ascii="仿宋" w:hAnsi="仿宋" w:eastAsia="仿宋"/>
                <w:bCs/>
                <w:color w:val="000000"/>
                <w:sz w:val="24"/>
              </w:rPr>
              <w:t>综合实践基地（个）</w:t>
            </w:r>
          </w:p>
        </w:tc>
        <w:tc>
          <w:tcPr>
            <w:tcW w:w="1655" w:type="dxa"/>
            <w:vAlign w:val="center"/>
          </w:tcPr>
          <w:p>
            <w:pPr>
              <w:spacing w:line="400" w:lineRule="exact"/>
              <w:jc w:val="center"/>
              <w:rPr>
                <w:rFonts w:ascii="仿宋" w:hAnsi="仿宋" w:eastAsia="仿宋"/>
                <w:bCs/>
                <w:color w:val="000000"/>
                <w:sz w:val="24"/>
              </w:rPr>
            </w:pPr>
            <w:r>
              <w:rPr>
                <w:rFonts w:hint="eastAsia" w:ascii="仿宋" w:hAnsi="仿宋" w:eastAsia="仿宋"/>
                <w:bCs/>
                <w:color w:val="000000"/>
                <w:sz w:val="24"/>
              </w:rPr>
              <w:t>省级精品课程（精品视频公开课、精品资源共享课和慕课）</w:t>
            </w:r>
          </w:p>
        </w:tc>
        <w:tc>
          <w:tcPr>
            <w:tcW w:w="1186" w:type="dxa"/>
            <w:vAlign w:val="center"/>
          </w:tcPr>
          <w:p>
            <w:pPr>
              <w:spacing w:line="400" w:lineRule="exact"/>
              <w:jc w:val="center"/>
              <w:rPr>
                <w:rFonts w:ascii="仿宋" w:hAnsi="仿宋" w:eastAsia="仿宋"/>
                <w:bCs/>
                <w:color w:val="000000"/>
                <w:sz w:val="24"/>
              </w:rPr>
            </w:pPr>
            <w:r>
              <w:rPr>
                <w:rFonts w:hint="eastAsia" w:ascii="仿宋" w:hAnsi="仿宋" w:eastAsia="仿宋"/>
                <w:bCs/>
                <w:color w:val="000000"/>
                <w:sz w:val="24"/>
              </w:rPr>
              <w:t>省级教学学术成果（项）</w:t>
            </w:r>
          </w:p>
        </w:tc>
        <w:tc>
          <w:tcPr>
            <w:tcW w:w="967" w:type="dxa"/>
            <w:vAlign w:val="center"/>
          </w:tcPr>
          <w:p>
            <w:pPr>
              <w:spacing w:line="400" w:lineRule="exact"/>
              <w:jc w:val="center"/>
              <w:rPr>
                <w:rFonts w:ascii="仿宋" w:hAnsi="仿宋" w:eastAsia="仿宋"/>
                <w:bCs/>
                <w:color w:val="000000"/>
                <w:sz w:val="24"/>
              </w:rPr>
            </w:pPr>
            <w:r>
              <w:rPr>
                <w:rFonts w:hint="eastAsia" w:ascii="仿宋" w:hAnsi="仿宋" w:eastAsia="仿宋"/>
                <w:bCs/>
                <w:color w:val="000000"/>
                <w:sz w:val="24"/>
              </w:rPr>
              <w:t>校级教学成果奖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exact"/>
          <w:jc w:val="center"/>
        </w:trPr>
        <w:tc>
          <w:tcPr>
            <w:tcW w:w="766" w:type="dxa"/>
            <w:vAlign w:val="center"/>
          </w:tcPr>
          <w:p>
            <w:pPr>
              <w:spacing w:line="400" w:lineRule="exact"/>
              <w:jc w:val="center"/>
              <w:rPr>
                <w:rFonts w:ascii="仿宋" w:hAnsi="仿宋" w:eastAsia="仿宋"/>
                <w:bCs/>
                <w:color w:val="000000"/>
                <w:sz w:val="24"/>
              </w:rPr>
            </w:pPr>
            <w:r>
              <w:rPr>
                <w:rFonts w:ascii="仿宋" w:hAnsi="仿宋" w:eastAsia="仿宋"/>
                <w:bCs/>
                <w:color w:val="000000"/>
                <w:sz w:val="24"/>
              </w:rPr>
              <w:t>1</w:t>
            </w:r>
          </w:p>
        </w:tc>
        <w:tc>
          <w:tcPr>
            <w:tcW w:w="1143" w:type="dxa"/>
            <w:vAlign w:val="center"/>
          </w:tcPr>
          <w:p>
            <w:pPr>
              <w:spacing w:line="400" w:lineRule="exact"/>
              <w:jc w:val="center"/>
              <w:rPr>
                <w:rFonts w:ascii="仿宋" w:hAnsi="仿宋" w:eastAsia="仿宋"/>
                <w:bCs/>
                <w:color w:val="000000"/>
                <w:sz w:val="24"/>
              </w:rPr>
            </w:pPr>
            <w:r>
              <w:rPr>
                <w:rFonts w:ascii="仿宋" w:hAnsi="仿宋" w:eastAsia="仿宋"/>
                <w:bCs/>
                <w:color w:val="000000"/>
                <w:sz w:val="24"/>
              </w:rPr>
              <w:t>4</w:t>
            </w:r>
          </w:p>
        </w:tc>
        <w:tc>
          <w:tcPr>
            <w:tcW w:w="1143" w:type="dxa"/>
            <w:vAlign w:val="center"/>
          </w:tcPr>
          <w:p>
            <w:pPr>
              <w:spacing w:line="400" w:lineRule="exact"/>
              <w:jc w:val="center"/>
              <w:rPr>
                <w:rFonts w:ascii="仿宋" w:hAnsi="仿宋" w:eastAsia="仿宋"/>
                <w:bCs/>
                <w:color w:val="000000"/>
                <w:sz w:val="24"/>
              </w:rPr>
            </w:pPr>
            <w:r>
              <w:rPr>
                <w:rFonts w:hint="eastAsia" w:ascii="仿宋" w:hAnsi="仿宋" w:eastAsia="仿宋"/>
                <w:bCs/>
                <w:color w:val="000000"/>
                <w:sz w:val="24"/>
              </w:rPr>
              <w:t>≥</w:t>
            </w:r>
            <w:r>
              <w:rPr>
                <w:rFonts w:ascii="仿宋" w:hAnsi="仿宋" w:eastAsia="仿宋"/>
                <w:bCs/>
                <w:color w:val="000000"/>
                <w:sz w:val="24"/>
              </w:rPr>
              <w:t>2</w:t>
            </w:r>
          </w:p>
        </w:tc>
        <w:tc>
          <w:tcPr>
            <w:tcW w:w="1271" w:type="dxa"/>
            <w:vAlign w:val="center"/>
          </w:tcPr>
          <w:p>
            <w:pPr>
              <w:spacing w:line="400" w:lineRule="exact"/>
              <w:jc w:val="center"/>
              <w:rPr>
                <w:rFonts w:ascii="仿宋" w:hAnsi="仿宋" w:eastAsia="仿宋"/>
                <w:bCs/>
                <w:color w:val="000000"/>
                <w:sz w:val="24"/>
              </w:rPr>
            </w:pPr>
            <w:r>
              <w:rPr>
                <w:rFonts w:hint="eastAsia" w:ascii="仿宋" w:hAnsi="仿宋" w:eastAsia="仿宋"/>
                <w:bCs/>
                <w:color w:val="000000"/>
                <w:sz w:val="24"/>
              </w:rPr>
              <w:t>≥</w:t>
            </w:r>
            <w:r>
              <w:rPr>
                <w:rFonts w:ascii="仿宋" w:hAnsi="仿宋" w:eastAsia="仿宋"/>
                <w:bCs/>
                <w:color w:val="000000"/>
                <w:sz w:val="24"/>
              </w:rPr>
              <w:t>3</w:t>
            </w:r>
          </w:p>
        </w:tc>
        <w:tc>
          <w:tcPr>
            <w:tcW w:w="1101" w:type="dxa"/>
            <w:vAlign w:val="center"/>
          </w:tcPr>
          <w:p>
            <w:pPr>
              <w:spacing w:line="400" w:lineRule="exact"/>
              <w:jc w:val="center"/>
              <w:rPr>
                <w:rFonts w:ascii="仿宋" w:hAnsi="仿宋" w:eastAsia="仿宋"/>
                <w:bCs/>
                <w:color w:val="000000"/>
                <w:sz w:val="24"/>
              </w:rPr>
            </w:pPr>
            <w:r>
              <w:rPr>
                <w:rFonts w:hint="eastAsia" w:ascii="仿宋" w:hAnsi="仿宋" w:eastAsia="仿宋"/>
                <w:bCs/>
                <w:color w:val="000000"/>
                <w:sz w:val="24"/>
              </w:rPr>
              <w:t>≥</w:t>
            </w:r>
            <w:r>
              <w:rPr>
                <w:rFonts w:ascii="仿宋" w:hAnsi="仿宋" w:eastAsia="仿宋"/>
                <w:bCs/>
                <w:color w:val="000000"/>
                <w:sz w:val="24"/>
              </w:rPr>
              <w:t>1</w:t>
            </w:r>
          </w:p>
        </w:tc>
        <w:tc>
          <w:tcPr>
            <w:tcW w:w="1655" w:type="dxa"/>
            <w:vAlign w:val="center"/>
          </w:tcPr>
          <w:p>
            <w:pPr>
              <w:spacing w:line="400" w:lineRule="exact"/>
              <w:jc w:val="center"/>
              <w:rPr>
                <w:rFonts w:ascii="仿宋" w:hAnsi="仿宋" w:eastAsia="仿宋"/>
                <w:bCs/>
                <w:color w:val="000000"/>
                <w:sz w:val="24"/>
              </w:rPr>
            </w:pPr>
            <w:r>
              <w:rPr>
                <w:rFonts w:ascii="仿宋" w:hAnsi="仿宋" w:eastAsia="仿宋"/>
                <w:bCs/>
                <w:color w:val="000000"/>
                <w:sz w:val="24"/>
              </w:rPr>
              <w:t>1</w:t>
            </w:r>
          </w:p>
        </w:tc>
        <w:tc>
          <w:tcPr>
            <w:tcW w:w="1186" w:type="dxa"/>
            <w:vAlign w:val="center"/>
          </w:tcPr>
          <w:p>
            <w:pPr>
              <w:spacing w:line="400" w:lineRule="exact"/>
              <w:jc w:val="center"/>
              <w:rPr>
                <w:rFonts w:ascii="仿宋" w:hAnsi="仿宋" w:eastAsia="仿宋"/>
                <w:bCs/>
                <w:color w:val="000000"/>
                <w:sz w:val="24"/>
              </w:rPr>
            </w:pPr>
            <w:r>
              <w:rPr>
                <w:rFonts w:ascii="仿宋" w:hAnsi="仿宋" w:eastAsia="仿宋"/>
                <w:bCs/>
                <w:color w:val="000000"/>
                <w:sz w:val="24"/>
              </w:rPr>
              <w:t>1</w:t>
            </w:r>
          </w:p>
        </w:tc>
        <w:tc>
          <w:tcPr>
            <w:tcW w:w="967" w:type="dxa"/>
            <w:vAlign w:val="center"/>
          </w:tcPr>
          <w:p>
            <w:pPr>
              <w:spacing w:line="400" w:lineRule="exact"/>
              <w:jc w:val="center"/>
              <w:rPr>
                <w:rFonts w:ascii="仿宋" w:hAnsi="仿宋" w:eastAsia="仿宋"/>
                <w:bCs/>
                <w:color w:val="000000"/>
                <w:sz w:val="24"/>
              </w:rPr>
            </w:pPr>
            <w:r>
              <w:rPr>
                <w:rFonts w:ascii="仿宋" w:hAnsi="仿宋" w:eastAsia="仿宋"/>
                <w:bCs/>
                <w:color w:val="000000"/>
                <w:sz w:val="24"/>
              </w:rPr>
              <w:t>1</w:t>
            </w:r>
          </w:p>
        </w:tc>
      </w:tr>
    </w:tbl>
    <w:p>
      <w:pPr>
        <w:autoSpaceDE w:val="0"/>
        <w:autoSpaceDN w:val="0"/>
        <w:adjustRightInd w:val="0"/>
        <w:snapToGrid w:val="0"/>
        <w:spacing w:line="560" w:lineRule="exact"/>
        <w:ind w:firstLine="640" w:firstLineChars="200"/>
        <w:rPr>
          <w:rFonts w:ascii="仿宋" w:hAnsi="仿宋" w:eastAsia="仿宋"/>
          <w:color w:val="000000"/>
          <w:sz w:val="32"/>
          <w:szCs w:val="32"/>
        </w:rPr>
      </w:pPr>
    </w:p>
    <w:p>
      <w:pPr>
        <w:spacing w:line="560" w:lineRule="exact"/>
        <w:ind w:firstLine="562" w:firstLineChars="200"/>
        <w:jc w:val="center"/>
        <w:rPr>
          <w:rFonts w:ascii="仿宋" w:hAnsi="仿宋" w:eastAsia="仿宋"/>
          <w:b/>
          <w:bCs/>
          <w:color w:val="000000"/>
          <w:sz w:val="28"/>
          <w:szCs w:val="28"/>
        </w:rPr>
      </w:pPr>
      <w:r>
        <w:rPr>
          <w:rFonts w:hint="eastAsia" w:ascii="仿宋" w:hAnsi="仿宋" w:eastAsia="仿宋"/>
          <w:b/>
          <w:bCs/>
          <w:color w:val="000000"/>
          <w:sz w:val="28"/>
          <w:szCs w:val="28"/>
        </w:rPr>
        <w:t>表</w:t>
      </w:r>
      <w:r>
        <w:rPr>
          <w:rFonts w:ascii="仿宋" w:hAnsi="仿宋" w:eastAsia="仿宋"/>
          <w:b/>
          <w:bCs/>
          <w:color w:val="000000"/>
          <w:sz w:val="28"/>
          <w:szCs w:val="28"/>
        </w:rPr>
        <w:t xml:space="preserve">2  </w:t>
      </w:r>
      <w:r>
        <w:rPr>
          <w:rFonts w:hint="eastAsia" w:ascii="仿宋" w:hAnsi="仿宋" w:eastAsia="仿宋"/>
          <w:b/>
          <w:bCs/>
          <w:color w:val="000000"/>
          <w:sz w:val="28"/>
          <w:szCs w:val="28"/>
        </w:rPr>
        <w:t>马克思主义学院</w:t>
      </w:r>
      <w:r>
        <w:rPr>
          <w:rFonts w:hint="eastAsia" w:ascii="仿宋" w:hAnsi="仿宋" w:eastAsia="仿宋"/>
          <w:b/>
          <w:color w:val="000000"/>
          <w:sz w:val="28"/>
          <w:szCs w:val="28"/>
        </w:rPr>
        <w:t>“十三五”期间</w:t>
      </w:r>
      <w:r>
        <w:rPr>
          <w:rFonts w:hint="eastAsia" w:ascii="仿宋" w:hAnsi="仿宋" w:eastAsia="仿宋"/>
          <w:b/>
          <w:bCs/>
          <w:color w:val="000000"/>
          <w:sz w:val="28"/>
          <w:szCs w:val="28"/>
        </w:rPr>
        <w:t>队伍建设</w:t>
      </w:r>
      <w:r>
        <w:rPr>
          <w:rFonts w:hint="eastAsia" w:ascii="仿宋" w:hAnsi="仿宋" w:eastAsia="仿宋"/>
          <w:b/>
          <w:color w:val="000000"/>
          <w:sz w:val="28"/>
          <w:szCs w:val="28"/>
        </w:rPr>
        <w:t>阶段性任务进度</w:t>
      </w:r>
    </w:p>
    <w:tbl>
      <w:tblPr>
        <w:tblStyle w:val="12"/>
        <w:tblW w:w="8955"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0"/>
        <w:gridCol w:w="1383"/>
        <w:gridCol w:w="1383"/>
        <w:gridCol w:w="1383"/>
        <w:gridCol w:w="1383"/>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exact"/>
        </w:trPr>
        <w:tc>
          <w:tcPr>
            <w:tcW w:w="2040" w:type="dxa"/>
            <w:vAlign w:val="center"/>
          </w:tcPr>
          <w:p>
            <w:pPr>
              <w:spacing w:line="400" w:lineRule="exact"/>
              <w:jc w:val="center"/>
              <w:rPr>
                <w:rFonts w:ascii="仿宋" w:hAnsi="仿宋" w:eastAsia="仿宋"/>
                <w:bCs/>
                <w:color w:val="000000"/>
                <w:sz w:val="24"/>
              </w:rPr>
            </w:pPr>
          </w:p>
        </w:tc>
        <w:tc>
          <w:tcPr>
            <w:tcW w:w="1383" w:type="dxa"/>
            <w:vAlign w:val="center"/>
          </w:tcPr>
          <w:p>
            <w:pPr>
              <w:spacing w:line="400" w:lineRule="exact"/>
              <w:jc w:val="center"/>
              <w:rPr>
                <w:rFonts w:ascii="仿宋" w:hAnsi="仿宋" w:eastAsia="仿宋"/>
                <w:bCs/>
                <w:color w:val="000000"/>
                <w:sz w:val="24"/>
              </w:rPr>
            </w:pPr>
            <w:r>
              <w:rPr>
                <w:rFonts w:ascii="仿宋" w:hAnsi="仿宋" w:eastAsia="仿宋"/>
                <w:bCs/>
                <w:color w:val="000000"/>
                <w:sz w:val="24"/>
              </w:rPr>
              <w:t>2016</w:t>
            </w:r>
            <w:r>
              <w:rPr>
                <w:rFonts w:hint="eastAsia" w:ascii="仿宋" w:hAnsi="仿宋" w:eastAsia="仿宋"/>
                <w:bCs/>
                <w:color w:val="000000"/>
                <w:sz w:val="24"/>
              </w:rPr>
              <w:t>年</w:t>
            </w:r>
          </w:p>
        </w:tc>
        <w:tc>
          <w:tcPr>
            <w:tcW w:w="1383" w:type="dxa"/>
            <w:vAlign w:val="center"/>
          </w:tcPr>
          <w:p>
            <w:pPr>
              <w:spacing w:line="400" w:lineRule="exact"/>
              <w:jc w:val="center"/>
              <w:rPr>
                <w:rFonts w:ascii="仿宋" w:hAnsi="仿宋" w:eastAsia="仿宋"/>
                <w:bCs/>
                <w:color w:val="000000"/>
                <w:sz w:val="24"/>
              </w:rPr>
            </w:pPr>
            <w:r>
              <w:rPr>
                <w:rFonts w:ascii="仿宋" w:hAnsi="仿宋" w:eastAsia="仿宋"/>
                <w:bCs/>
                <w:color w:val="000000"/>
                <w:sz w:val="24"/>
              </w:rPr>
              <w:t>2017</w:t>
            </w:r>
            <w:r>
              <w:rPr>
                <w:rFonts w:hint="eastAsia" w:ascii="仿宋" w:hAnsi="仿宋" w:eastAsia="仿宋"/>
                <w:bCs/>
                <w:color w:val="000000"/>
                <w:sz w:val="24"/>
              </w:rPr>
              <w:t>年</w:t>
            </w:r>
          </w:p>
        </w:tc>
        <w:tc>
          <w:tcPr>
            <w:tcW w:w="1383" w:type="dxa"/>
            <w:vAlign w:val="center"/>
          </w:tcPr>
          <w:p>
            <w:pPr>
              <w:spacing w:line="400" w:lineRule="exact"/>
              <w:jc w:val="center"/>
              <w:rPr>
                <w:rFonts w:ascii="仿宋" w:hAnsi="仿宋" w:eastAsia="仿宋"/>
                <w:bCs/>
                <w:color w:val="000000"/>
                <w:sz w:val="24"/>
              </w:rPr>
            </w:pPr>
            <w:r>
              <w:rPr>
                <w:rFonts w:ascii="仿宋" w:hAnsi="仿宋" w:eastAsia="仿宋"/>
                <w:bCs/>
                <w:color w:val="000000"/>
                <w:sz w:val="24"/>
              </w:rPr>
              <w:t>2018</w:t>
            </w:r>
            <w:r>
              <w:rPr>
                <w:rFonts w:hint="eastAsia" w:ascii="仿宋" w:hAnsi="仿宋" w:eastAsia="仿宋"/>
                <w:bCs/>
                <w:color w:val="000000"/>
                <w:sz w:val="24"/>
              </w:rPr>
              <w:t>年</w:t>
            </w:r>
          </w:p>
        </w:tc>
        <w:tc>
          <w:tcPr>
            <w:tcW w:w="1383" w:type="dxa"/>
            <w:vAlign w:val="center"/>
          </w:tcPr>
          <w:p>
            <w:pPr>
              <w:spacing w:line="400" w:lineRule="exact"/>
              <w:jc w:val="center"/>
              <w:rPr>
                <w:rFonts w:ascii="仿宋" w:hAnsi="仿宋" w:eastAsia="仿宋"/>
                <w:bCs/>
                <w:color w:val="000000"/>
                <w:sz w:val="24"/>
              </w:rPr>
            </w:pPr>
            <w:r>
              <w:rPr>
                <w:rFonts w:ascii="仿宋" w:hAnsi="仿宋" w:eastAsia="仿宋"/>
                <w:bCs/>
                <w:color w:val="000000"/>
                <w:sz w:val="24"/>
              </w:rPr>
              <w:t>2019</w:t>
            </w:r>
            <w:r>
              <w:rPr>
                <w:rFonts w:hint="eastAsia" w:ascii="仿宋" w:hAnsi="仿宋" w:eastAsia="仿宋"/>
                <w:bCs/>
                <w:color w:val="000000"/>
                <w:sz w:val="24"/>
              </w:rPr>
              <w:t>年</w:t>
            </w:r>
          </w:p>
        </w:tc>
        <w:tc>
          <w:tcPr>
            <w:tcW w:w="1383" w:type="dxa"/>
            <w:vAlign w:val="center"/>
          </w:tcPr>
          <w:p>
            <w:pPr>
              <w:spacing w:line="400" w:lineRule="exact"/>
              <w:jc w:val="center"/>
              <w:rPr>
                <w:rFonts w:ascii="仿宋" w:hAnsi="仿宋" w:eastAsia="仿宋"/>
                <w:bCs/>
                <w:color w:val="000000"/>
                <w:sz w:val="24"/>
              </w:rPr>
            </w:pPr>
            <w:r>
              <w:rPr>
                <w:rFonts w:ascii="仿宋" w:hAnsi="仿宋" w:eastAsia="仿宋"/>
                <w:bCs/>
                <w:color w:val="000000"/>
                <w:sz w:val="24"/>
              </w:rPr>
              <w:t>2020</w:t>
            </w:r>
            <w:r>
              <w:rPr>
                <w:rFonts w:hint="eastAsia" w:ascii="仿宋" w:hAnsi="仿宋" w:eastAsia="仿宋"/>
                <w:bCs/>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exact"/>
        </w:trPr>
        <w:tc>
          <w:tcPr>
            <w:tcW w:w="2040" w:type="dxa"/>
            <w:vAlign w:val="center"/>
          </w:tcPr>
          <w:p>
            <w:pPr>
              <w:spacing w:line="400" w:lineRule="exact"/>
              <w:jc w:val="center"/>
              <w:rPr>
                <w:rFonts w:ascii="仿宋" w:hAnsi="仿宋" w:eastAsia="仿宋"/>
                <w:bCs/>
                <w:color w:val="000000"/>
                <w:sz w:val="24"/>
              </w:rPr>
            </w:pPr>
            <w:r>
              <w:rPr>
                <w:rFonts w:hint="eastAsia" w:ascii="仿宋" w:hAnsi="仿宋" w:eastAsia="仿宋"/>
                <w:bCs/>
                <w:color w:val="000000"/>
                <w:sz w:val="24"/>
              </w:rPr>
              <w:t>专任教师（人）</w:t>
            </w:r>
          </w:p>
        </w:tc>
        <w:tc>
          <w:tcPr>
            <w:tcW w:w="1383" w:type="dxa"/>
            <w:vAlign w:val="center"/>
          </w:tcPr>
          <w:p>
            <w:pPr>
              <w:spacing w:line="400" w:lineRule="exact"/>
              <w:jc w:val="center"/>
              <w:rPr>
                <w:rFonts w:ascii="仿宋" w:hAnsi="仿宋" w:eastAsia="仿宋"/>
                <w:bCs/>
                <w:color w:val="000000"/>
                <w:sz w:val="24"/>
              </w:rPr>
            </w:pPr>
            <w:r>
              <w:rPr>
                <w:rFonts w:ascii="仿宋" w:hAnsi="仿宋" w:eastAsia="仿宋"/>
                <w:bCs/>
                <w:color w:val="000000"/>
                <w:sz w:val="24"/>
              </w:rPr>
              <w:t>19</w:t>
            </w:r>
          </w:p>
        </w:tc>
        <w:tc>
          <w:tcPr>
            <w:tcW w:w="1383" w:type="dxa"/>
            <w:vAlign w:val="center"/>
          </w:tcPr>
          <w:p>
            <w:pPr>
              <w:spacing w:line="400" w:lineRule="exact"/>
              <w:jc w:val="center"/>
              <w:rPr>
                <w:rFonts w:ascii="仿宋" w:hAnsi="仿宋" w:eastAsia="仿宋"/>
                <w:bCs/>
                <w:color w:val="000000"/>
                <w:sz w:val="24"/>
              </w:rPr>
            </w:pPr>
            <w:r>
              <w:rPr>
                <w:rFonts w:ascii="仿宋" w:hAnsi="仿宋" w:eastAsia="仿宋"/>
                <w:bCs/>
                <w:color w:val="000000"/>
                <w:sz w:val="24"/>
              </w:rPr>
              <w:t>25</w:t>
            </w:r>
          </w:p>
        </w:tc>
        <w:tc>
          <w:tcPr>
            <w:tcW w:w="1383" w:type="dxa"/>
            <w:vAlign w:val="center"/>
          </w:tcPr>
          <w:p>
            <w:pPr>
              <w:spacing w:line="400" w:lineRule="exact"/>
              <w:jc w:val="center"/>
              <w:rPr>
                <w:rFonts w:ascii="仿宋" w:hAnsi="仿宋" w:eastAsia="仿宋"/>
                <w:bCs/>
                <w:color w:val="000000"/>
                <w:sz w:val="24"/>
              </w:rPr>
            </w:pPr>
            <w:r>
              <w:rPr>
                <w:rFonts w:ascii="仿宋" w:hAnsi="仿宋" w:eastAsia="仿宋"/>
                <w:bCs/>
                <w:color w:val="000000"/>
                <w:sz w:val="24"/>
              </w:rPr>
              <w:t>30</w:t>
            </w:r>
          </w:p>
        </w:tc>
        <w:tc>
          <w:tcPr>
            <w:tcW w:w="1383" w:type="dxa"/>
            <w:vAlign w:val="center"/>
          </w:tcPr>
          <w:p>
            <w:pPr>
              <w:spacing w:line="400" w:lineRule="exact"/>
              <w:jc w:val="center"/>
              <w:rPr>
                <w:rFonts w:ascii="仿宋" w:hAnsi="仿宋" w:eastAsia="仿宋"/>
                <w:bCs/>
                <w:color w:val="000000"/>
                <w:sz w:val="24"/>
              </w:rPr>
            </w:pPr>
            <w:r>
              <w:rPr>
                <w:rFonts w:ascii="仿宋" w:hAnsi="仿宋" w:eastAsia="仿宋"/>
                <w:bCs/>
                <w:color w:val="000000"/>
                <w:sz w:val="24"/>
              </w:rPr>
              <w:t>35</w:t>
            </w:r>
          </w:p>
        </w:tc>
        <w:tc>
          <w:tcPr>
            <w:tcW w:w="1383" w:type="dxa"/>
            <w:vAlign w:val="center"/>
          </w:tcPr>
          <w:p>
            <w:pPr>
              <w:spacing w:line="400" w:lineRule="exact"/>
              <w:jc w:val="center"/>
              <w:rPr>
                <w:rFonts w:ascii="仿宋" w:hAnsi="仿宋" w:eastAsia="仿宋"/>
                <w:bCs/>
                <w:color w:val="000000"/>
                <w:sz w:val="24"/>
              </w:rPr>
            </w:pPr>
            <w:r>
              <w:rPr>
                <w:rFonts w:ascii="仿宋" w:hAnsi="仿宋" w:eastAsia="仿宋"/>
                <w:bCs/>
                <w:color w:val="000000"/>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040" w:type="dxa"/>
            <w:vAlign w:val="center"/>
          </w:tcPr>
          <w:p>
            <w:pPr>
              <w:spacing w:line="400" w:lineRule="exact"/>
              <w:jc w:val="center"/>
              <w:rPr>
                <w:rFonts w:ascii="仿宋" w:hAnsi="仿宋" w:eastAsia="仿宋"/>
                <w:bCs/>
                <w:color w:val="000000"/>
                <w:sz w:val="24"/>
              </w:rPr>
            </w:pPr>
            <w:r>
              <w:rPr>
                <w:rFonts w:hint="eastAsia" w:ascii="仿宋" w:hAnsi="仿宋" w:eastAsia="仿宋"/>
                <w:bCs/>
                <w:color w:val="000000"/>
                <w:sz w:val="24"/>
              </w:rPr>
              <w:t>专任教师博士学位人员比例（</w:t>
            </w:r>
            <w:r>
              <w:rPr>
                <w:rFonts w:ascii="仿宋" w:hAnsi="仿宋" w:eastAsia="仿宋"/>
                <w:bCs/>
                <w:color w:val="000000"/>
                <w:sz w:val="24"/>
              </w:rPr>
              <w:t>%</w:t>
            </w:r>
            <w:r>
              <w:rPr>
                <w:rFonts w:hint="eastAsia" w:ascii="仿宋" w:hAnsi="仿宋" w:eastAsia="仿宋"/>
                <w:bCs/>
                <w:color w:val="000000"/>
                <w:sz w:val="24"/>
              </w:rPr>
              <w:t>）</w:t>
            </w:r>
          </w:p>
        </w:tc>
        <w:tc>
          <w:tcPr>
            <w:tcW w:w="1383" w:type="dxa"/>
            <w:vAlign w:val="center"/>
          </w:tcPr>
          <w:p>
            <w:pPr>
              <w:spacing w:line="400" w:lineRule="exact"/>
              <w:jc w:val="center"/>
              <w:rPr>
                <w:rFonts w:ascii="仿宋" w:hAnsi="仿宋" w:eastAsia="仿宋"/>
                <w:bCs/>
                <w:color w:val="000000"/>
                <w:sz w:val="24"/>
              </w:rPr>
            </w:pPr>
            <w:r>
              <w:rPr>
                <w:rFonts w:ascii="仿宋" w:hAnsi="仿宋" w:eastAsia="仿宋"/>
                <w:bCs/>
                <w:color w:val="000000"/>
                <w:sz w:val="24"/>
              </w:rPr>
              <w:t>45</w:t>
            </w:r>
          </w:p>
        </w:tc>
        <w:tc>
          <w:tcPr>
            <w:tcW w:w="1383" w:type="dxa"/>
            <w:vAlign w:val="center"/>
          </w:tcPr>
          <w:p>
            <w:pPr>
              <w:spacing w:line="400" w:lineRule="exact"/>
              <w:jc w:val="center"/>
              <w:rPr>
                <w:rFonts w:ascii="仿宋" w:hAnsi="仿宋" w:eastAsia="仿宋"/>
                <w:bCs/>
                <w:color w:val="000000"/>
                <w:sz w:val="24"/>
              </w:rPr>
            </w:pPr>
            <w:r>
              <w:rPr>
                <w:rFonts w:ascii="仿宋" w:hAnsi="仿宋" w:eastAsia="仿宋"/>
                <w:bCs/>
                <w:color w:val="000000"/>
                <w:sz w:val="24"/>
              </w:rPr>
              <w:t>50</w:t>
            </w:r>
          </w:p>
        </w:tc>
        <w:tc>
          <w:tcPr>
            <w:tcW w:w="1383" w:type="dxa"/>
            <w:vAlign w:val="center"/>
          </w:tcPr>
          <w:p>
            <w:pPr>
              <w:spacing w:line="400" w:lineRule="exact"/>
              <w:jc w:val="center"/>
              <w:rPr>
                <w:rFonts w:ascii="仿宋" w:hAnsi="仿宋" w:eastAsia="仿宋"/>
                <w:bCs/>
                <w:color w:val="000000"/>
                <w:sz w:val="24"/>
              </w:rPr>
            </w:pPr>
            <w:r>
              <w:rPr>
                <w:rFonts w:ascii="仿宋" w:hAnsi="仿宋" w:eastAsia="仿宋"/>
                <w:bCs/>
                <w:color w:val="000000"/>
                <w:sz w:val="24"/>
              </w:rPr>
              <w:t>55</w:t>
            </w:r>
          </w:p>
        </w:tc>
        <w:tc>
          <w:tcPr>
            <w:tcW w:w="1383" w:type="dxa"/>
            <w:vAlign w:val="center"/>
          </w:tcPr>
          <w:p>
            <w:pPr>
              <w:spacing w:line="400" w:lineRule="exact"/>
              <w:jc w:val="center"/>
              <w:rPr>
                <w:rFonts w:ascii="仿宋" w:hAnsi="仿宋" w:eastAsia="仿宋"/>
                <w:bCs/>
                <w:color w:val="000000"/>
                <w:sz w:val="24"/>
              </w:rPr>
            </w:pPr>
            <w:r>
              <w:rPr>
                <w:rFonts w:ascii="仿宋" w:hAnsi="仿宋" w:eastAsia="仿宋"/>
                <w:bCs/>
                <w:color w:val="000000"/>
                <w:sz w:val="24"/>
              </w:rPr>
              <w:t>60</w:t>
            </w:r>
          </w:p>
        </w:tc>
        <w:tc>
          <w:tcPr>
            <w:tcW w:w="1383" w:type="dxa"/>
            <w:vAlign w:val="center"/>
          </w:tcPr>
          <w:p>
            <w:pPr>
              <w:spacing w:line="400" w:lineRule="exact"/>
              <w:jc w:val="center"/>
              <w:rPr>
                <w:rFonts w:ascii="仿宋" w:hAnsi="仿宋" w:eastAsia="仿宋"/>
                <w:bCs/>
                <w:color w:val="000000"/>
                <w:sz w:val="24"/>
              </w:rPr>
            </w:pPr>
            <w:r>
              <w:rPr>
                <w:rFonts w:ascii="仿宋" w:hAnsi="仿宋" w:eastAsia="仿宋"/>
                <w:bCs/>
                <w:color w:val="000000"/>
                <w:sz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exact"/>
        </w:trPr>
        <w:tc>
          <w:tcPr>
            <w:tcW w:w="2040" w:type="dxa"/>
            <w:vAlign w:val="center"/>
          </w:tcPr>
          <w:p>
            <w:pPr>
              <w:spacing w:line="400" w:lineRule="exact"/>
              <w:jc w:val="center"/>
              <w:rPr>
                <w:rFonts w:ascii="仿宋" w:hAnsi="仿宋" w:eastAsia="仿宋"/>
                <w:bCs/>
                <w:color w:val="000000"/>
                <w:sz w:val="24"/>
              </w:rPr>
            </w:pPr>
            <w:r>
              <w:rPr>
                <w:rFonts w:hint="eastAsia" w:ascii="仿宋" w:hAnsi="仿宋" w:eastAsia="仿宋"/>
                <w:bCs/>
                <w:color w:val="000000"/>
                <w:sz w:val="24"/>
              </w:rPr>
              <w:t>省级人才（人）</w:t>
            </w:r>
          </w:p>
        </w:tc>
        <w:tc>
          <w:tcPr>
            <w:tcW w:w="6915" w:type="dxa"/>
            <w:gridSpan w:val="5"/>
            <w:vAlign w:val="center"/>
          </w:tcPr>
          <w:p>
            <w:pPr>
              <w:spacing w:line="400" w:lineRule="exact"/>
              <w:jc w:val="center"/>
              <w:rPr>
                <w:rFonts w:ascii="仿宋" w:hAnsi="仿宋" w:eastAsia="仿宋"/>
                <w:bCs/>
                <w:color w:val="000000"/>
                <w:sz w:val="24"/>
              </w:rPr>
            </w:pPr>
            <w:r>
              <w:rPr>
                <w:rFonts w:hint="eastAsia" w:ascii="仿宋" w:hAnsi="仿宋" w:eastAsia="仿宋"/>
                <w:bCs/>
                <w:color w:val="000000"/>
                <w:sz w:val="24"/>
              </w:rPr>
              <w:t>≥</w:t>
            </w:r>
            <w:r>
              <w:rPr>
                <w:rFonts w:ascii="仿宋" w:hAnsi="仿宋" w:eastAsia="仿宋"/>
                <w:bCs/>
                <w:color w:val="000000"/>
                <w:sz w:val="24"/>
              </w:rPr>
              <w:t>1</w:t>
            </w:r>
          </w:p>
        </w:tc>
      </w:tr>
    </w:tbl>
    <w:p>
      <w:pPr>
        <w:spacing w:line="560" w:lineRule="exact"/>
        <w:jc w:val="center"/>
        <w:rPr>
          <w:rFonts w:ascii="仿宋" w:hAnsi="仿宋" w:eastAsia="仿宋"/>
          <w:b/>
          <w:color w:val="000000"/>
          <w:sz w:val="28"/>
          <w:szCs w:val="28"/>
        </w:rPr>
      </w:pPr>
      <w:r>
        <w:rPr>
          <w:rFonts w:hint="eastAsia" w:ascii="仿宋" w:hAnsi="仿宋" w:eastAsia="仿宋"/>
          <w:b/>
          <w:color w:val="000000"/>
          <w:sz w:val="28"/>
          <w:szCs w:val="28"/>
        </w:rPr>
        <w:t>表</w:t>
      </w:r>
      <w:r>
        <w:rPr>
          <w:rFonts w:ascii="仿宋" w:hAnsi="仿宋" w:eastAsia="仿宋"/>
          <w:b/>
          <w:color w:val="000000"/>
          <w:sz w:val="28"/>
          <w:szCs w:val="28"/>
        </w:rPr>
        <w:t xml:space="preserve">3  </w:t>
      </w:r>
      <w:r>
        <w:rPr>
          <w:rFonts w:hint="eastAsia" w:ascii="仿宋" w:hAnsi="仿宋" w:eastAsia="仿宋"/>
          <w:b/>
          <w:color w:val="000000"/>
          <w:sz w:val="28"/>
          <w:szCs w:val="28"/>
        </w:rPr>
        <w:t>马克思主义学院“十三五”期间科学研究阶段性任务进度</w:t>
      </w:r>
    </w:p>
    <w:tbl>
      <w:tblPr>
        <w:tblStyle w:val="12"/>
        <w:tblW w:w="9081" w:type="dxa"/>
        <w:jc w:val="center"/>
        <w:tblInd w:w="-135" w:type="dxa"/>
        <w:tblLayout w:type="fixed"/>
        <w:tblCellMar>
          <w:top w:w="0" w:type="dxa"/>
          <w:left w:w="108" w:type="dxa"/>
          <w:bottom w:w="0" w:type="dxa"/>
          <w:right w:w="108" w:type="dxa"/>
        </w:tblCellMar>
      </w:tblPr>
      <w:tblGrid>
        <w:gridCol w:w="1921"/>
        <w:gridCol w:w="1192"/>
        <w:gridCol w:w="1193"/>
        <w:gridCol w:w="1192"/>
        <w:gridCol w:w="1193"/>
        <w:gridCol w:w="1197"/>
        <w:gridCol w:w="1193"/>
      </w:tblGrid>
      <w:tr>
        <w:tblPrEx>
          <w:tblLayout w:type="fixed"/>
          <w:tblCellMar>
            <w:top w:w="0" w:type="dxa"/>
            <w:left w:w="108" w:type="dxa"/>
            <w:bottom w:w="0" w:type="dxa"/>
            <w:right w:w="108" w:type="dxa"/>
          </w:tblCellMar>
        </w:tblPrEx>
        <w:trPr>
          <w:trHeight w:val="555" w:hRule="atLeast"/>
          <w:jc w:val="center"/>
        </w:trPr>
        <w:tc>
          <w:tcPr>
            <w:tcW w:w="192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sz w:val="24"/>
              </w:rPr>
            </w:pPr>
          </w:p>
        </w:tc>
        <w:tc>
          <w:tcPr>
            <w:tcW w:w="1192" w:type="dxa"/>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olor w:val="000000"/>
                <w:sz w:val="24"/>
              </w:rPr>
            </w:pPr>
            <w:r>
              <w:rPr>
                <w:rFonts w:ascii="仿宋" w:hAnsi="仿宋" w:eastAsia="仿宋"/>
                <w:color w:val="000000"/>
                <w:sz w:val="24"/>
              </w:rPr>
              <w:t>2016</w:t>
            </w:r>
            <w:r>
              <w:rPr>
                <w:rFonts w:hint="eastAsia" w:ascii="仿宋" w:hAnsi="仿宋" w:eastAsia="仿宋"/>
                <w:color w:val="000000"/>
                <w:sz w:val="24"/>
              </w:rPr>
              <w:t>年</w:t>
            </w:r>
          </w:p>
        </w:tc>
        <w:tc>
          <w:tcPr>
            <w:tcW w:w="1193" w:type="dxa"/>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olor w:val="000000"/>
                <w:sz w:val="24"/>
              </w:rPr>
            </w:pPr>
            <w:r>
              <w:rPr>
                <w:rFonts w:ascii="仿宋" w:hAnsi="仿宋" w:eastAsia="仿宋"/>
                <w:color w:val="000000"/>
                <w:sz w:val="24"/>
              </w:rPr>
              <w:t>2017</w:t>
            </w:r>
            <w:r>
              <w:rPr>
                <w:rFonts w:hint="eastAsia" w:ascii="仿宋" w:hAnsi="仿宋" w:eastAsia="仿宋"/>
                <w:color w:val="000000"/>
                <w:sz w:val="24"/>
              </w:rPr>
              <w:t>年</w:t>
            </w:r>
          </w:p>
        </w:tc>
        <w:tc>
          <w:tcPr>
            <w:tcW w:w="1192" w:type="dxa"/>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olor w:val="000000"/>
                <w:sz w:val="24"/>
              </w:rPr>
            </w:pPr>
            <w:r>
              <w:rPr>
                <w:rFonts w:ascii="仿宋" w:hAnsi="仿宋" w:eastAsia="仿宋"/>
                <w:color w:val="000000"/>
                <w:sz w:val="24"/>
              </w:rPr>
              <w:t>2018</w:t>
            </w:r>
            <w:r>
              <w:rPr>
                <w:rFonts w:hint="eastAsia" w:ascii="仿宋" w:hAnsi="仿宋" w:eastAsia="仿宋"/>
                <w:color w:val="000000"/>
                <w:sz w:val="24"/>
              </w:rPr>
              <w:t>年</w:t>
            </w:r>
          </w:p>
        </w:tc>
        <w:tc>
          <w:tcPr>
            <w:tcW w:w="1193" w:type="dxa"/>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olor w:val="000000"/>
                <w:sz w:val="24"/>
              </w:rPr>
            </w:pPr>
            <w:r>
              <w:rPr>
                <w:rFonts w:ascii="仿宋" w:hAnsi="仿宋" w:eastAsia="仿宋"/>
                <w:color w:val="000000"/>
                <w:sz w:val="24"/>
              </w:rPr>
              <w:t>2019</w:t>
            </w:r>
            <w:r>
              <w:rPr>
                <w:rFonts w:hint="eastAsia" w:ascii="仿宋" w:hAnsi="仿宋" w:eastAsia="仿宋"/>
                <w:color w:val="000000"/>
                <w:sz w:val="24"/>
              </w:rPr>
              <w:t>年</w:t>
            </w:r>
          </w:p>
        </w:tc>
        <w:tc>
          <w:tcPr>
            <w:tcW w:w="1197" w:type="dxa"/>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olor w:val="000000"/>
                <w:sz w:val="24"/>
              </w:rPr>
            </w:pPr>
            <w:r>
              <w:rPr>
                <w:rFonts w:ascii="仿宋" w:hAnsi="仿宋" w:eastAsia="仿宋"/>
                <w:color w:val="000000"/>
                <w:sz w:val="24"/>
              </w:rPr>
              <w:t>2020</w:t>
            </w:r>
            <w:r>
              <w:rPr>
                <w:rFonts w:hint="eastAsia" w:ascii="仿宋" w:hAnsi="仿宋" w:eastAsia="仿宋"/>
                <w:color w:val="000000"/>
                <w:sz w:val="24"/>
              </w:rPr>
              <w:t>年</w:t>
            </w:r>
          </w:p>
        </w:tc>
        <w:tc>
          <w:tcPr>
            <w:tcW w:w="1193" w:type="dxa"/>
            <w:tcBorders>
              <w:top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总计</w:t>
            </w:r>
          </w:p>
        </w:tc>
      </w:tr>
      <w:tr>
        <w:tblPrEx>
          <w:tblLayout w:type="fixed"/>
          <w:tblCellMar>
            <w:top w:w="0" w:type="dxa"/>
            <w:left w:w="108" w:type="dxa"/>
            <w:bottom w:w="0" w:type="dxa"/>
            <w:right w:w="108" w:type="dxa"/>
          </w:tblCellMar>
        </w:tblPrEx>
        <w:trPr>
          <w:trHeight w:val="615" w:hRule="atLeast"/>
          <w:jc w:val="center"/>
        </w:trPr>
        <w:tc>
          <w:tcPr>
            <w:tcW w:w="192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科研经费（万元）</w:t>
            </w:r>
          </w:p>
        </w:tc>
        <w:tc>
          <w:tcPr>
            <w:tcW w:w="1192" w:type="dxa"/>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olor w:val="000000"/>
                <w:sz w:val="24"/>
              </w:rPr>
            </w:pPr>
            <w:r>
              <w:rPr>
                <w:rFonts w:ascii="仿宋" w:hAnsi="仿宋" w:eastAsia="仿宋"/>
                <w:color w:val="000000"/>
                <w:sz w:val="24"/>
              </w:rPr>
              <w:t>20</w:t>
            </w:r>
          </w:p>
        </w:tc>
        <w:tc>
          <w:tcPr>
            <w:tcW w:w="1193" w:type="dxa"/>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olor w:val="000000"/>
                <w:sz w:val="24"/>
              </w:rPr>
            </w:pPr>
            <w:r>
              <w:rPr>
                <w:rFonts w:ascii="仿宋" w:hAnsi="仿宋" w:eastAsia="仿宋"/>
                <w:color w:val="000000"/>
                <w:sz w:val="24"/>
              </w:rPr>
              <w:t>25</w:t>
            </w:r>
          </w:p>
        </w:tc>
        <w:tc>
          <w:tcPr>
            <w:tcW w:w="1192" w:type="dxa"/>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olor w:val="000000"/>
                <w:sz w:val="24"/>
              </w:rPr>
            </w:pPr>
            <w:r>
              <w:rPr>
                <w:rFonts w:ascii="仿宋" w:hAnsi="仿宋" w:eastAsia="仿宋"/>
                <w:color w:val="000000"/>
                <w:sz w:val="24"/>
              </w:rPr>
              <w:t>30</w:t>
            </w:r>
          </w:p>
        </w:tc>
        <w:tc>
          <w:tcPr>
            <w:tcW w:w="1193" w:type="dxa"/>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olor w:val="000000"/>
                <w:sz w:val="24"/>
              </w:rPr>
            </w:pPr>
            <w:r>
              <w:rPr>
                <w:rFonts w:ascii="仿宋" w:hAnsi="仿宋" w:eastAsia="仿宋"/>
                <w:color w:val="000000"/>
                <w:sz w:val="24"/>
              </w:rPr>
              <w:t>35</w:t>
            </w:r>
          </w:p>
        </w:tc>
        <w:tc>
          <w:tcPr>
            <w:tcW w:w="1197" w:type="dxa"/>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olor w:val="000000"/>
                <w:sz w:val="24"/>
              </w:rPr>
            </w:pPr>
            <w:r>
              <w:rPr>
                <w:rFonts w:ascii="仿宋" w:hAnsi="仿宋" w:eastAsia="仿宋"/>
                <w:color w:val="000000"/>
                <w:sz w:val="24"/>
              </w:rPr>
              <w:t>40</w:t>
            </w:r>
          </w:p>
        </w:tc>
        <w:tc>
          <w:tcPr>
            <w:tcW w:w="1193" w:type="dxa"/>
            <w:tcBorders>
              <w:top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sz w:val="24"/>
              </w:rPr>
            </w:pPr>
            <w:r>
              <w:rPr>
                <w:rFonts w:ascii="仿宋" w:hAnsi="仿宋" w:eastAsia="仿宋"/>
                <w:color w:val="000000"/>
                <w:sz w:val="24"/>
              </w:rPr>
              <w:t>150</w:t>
            </w:r>
          </w:p>
        </w:tc>
      </w:tr>
      <w:tr>
        <w:tblPrEx>
          <w:tblLayout w:type="fixed"/>
          <w:tblCellMar>
            <w:top w:w="0" w:type="dxa"/>
            <w:left w:w="108" w:type="dxa"/>
            <w:bottom w:w="0" w:type="dxa"/>
            <w:right w:w="108" w:type="dxa"/>
          </w:tblCellMar>
        </w:tblPrEx>
        <w:trPr>
          <w:trHeight w:val="585" w:hRule="exact"/>
          <w:jc w:val="center"/>
        </w:trPr>
        <w:tc>
          <w:tcPr>
            <w:tcW w:w="192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国家级课题（项）</w:t>
            </w:r>
          </w:p>
        </w:tc>
        <w:tc>
          <w:tcPr>
            <w:tcW w:w="5967" w:type="dxa"/>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olor w:val="000000"/>
                <w:sz w:val="24"/>
              </w:rPr>
            </w:pPr>
            <w:r>
              <w:rPr>
                <w:rFonts w:ascii="仿宋" w:hAnsi="仿宋" w:eastAsia="仿宋"/>
                <w:color w:val="000000"/>
                <w:sz w:val="24"/>
              </w:rPr>
              <w:t>2-3</w:t>
            </w:r>
          </w:p>
        </w:tc>
        <w:tc>
          <w:tcPr>
            <w:tcW w:w="1193" w:type="dxa"/>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olor w:val="000000"/>
                <w:sz w:val="24"/>
              </w:rPr>
            </w:pPr>
            <w:r>
              <w:rPr>
                <w:rFonts w:ascii="仿宋" w:hAnsi="仿宋" w:eastAsia="仿宋"/>
                <w:color w:val="000000"/>
                <w:sz w:val="24"/>
              </w:rPr>
              <w:t>2-3</w:t>
            </w:r>
          </w:p>
        </w:tc>
      </w:tr>
      <w:tr>
        <w:tblPrEx>
          <w:tblLayout w:type="fixed"/>
          <w:tblCellMar>
            <w:top w:w="0" w:type="dxa"/>
            <w:left w:w="108" w:type="dxa"/>
            <w:bottom w:w="0" w:type="dxa"/>
            <w:right w:w="108" w:type="dxa"/>
          </w:tblCellMar>
        </w:tblPrEx>
        <w:trPr>
          <w:trHeight w:val="585" w:hRule="atLeast"/>
          <w:jc w:val="center"/>
        </w:trPr>
        <w:tc>
          <w:tcPr>
            <w:tcW w:w="1921" w:type="dxa"/>
            <w:tcBorders>
              <w:top w:val="single" w:color="auto" w:sz="4" w:space="0"/>
              <w:left w:val="single" w:color="auto" w:sz="4" w:space="0"/>
              <w:bottom w:val="single" w:color="000000" w:sz="4" w:space="0"/>
              <w:right w:val="single" w:color="auto" w:sz="4" w:space="0"/>
            </w:tcBorders>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省部级课题（项）</w:t>
            </w:r>
          </w:p>
        </w:tc>
        <w:tc>
          <w:tcPr>
            <w:tcW w:w="1192" w:type="dxa"/>
            <w:tcBorders>
              <w:top w:val="single" w:color="auto" w:sz="4" w:space="0"/>
              <w:left w:val="nil"/>
              <w:bottom w:val="single" w:color="000000" w:sz="4" w:space="0"/>
              <w:right w:val="single" w:color="auto" w:sz="4" w:space="0"/>
            </w:tcBorders>
            <w:vAlign w:val="center"/>
          </w:tcPr>
          <w:p>
            <w:pPr>
              <w:spacing w:line="400" w:lineRule="exact"/>
              <w:jc w:val="center"/>
              <w:rPr>
                <w:rFonts w:ascii="仿宋" w:hAnsi="仿宋" w:eastAsia="仿宋"/>
                <w:color w:val="000000"/>
                <w:sz w:val="24"/>
              </w:rPr>
            </w:pPr>
            <w:r>
              <w:rPr>
                <w:rFonts w:ascii="仿宋" w:hAnsi="仿宋" w:eastAsia="仿宋"/>
                <w:color w:val="000000"/>
                <w:sz w:val="24"/>
              </w:rPr>
              <w:t>2</w:t>
            </w:r>
          </w:p>
        </w:tc>
        <w:tc>
          <w:tcPr>
            <w:tcW w:w="1193" w:type="dxa"/>
            <w:tcBorders>
              <w:top w:val="single" w:color="auto" w:sz="4" w:space="0"/>
              <w:left w:val="nil"/>
              <w:bottom w:val="single" w:color="000000" w:sz="4" w:space="0"/>
              <w:right w:val="single" w:color="auto" w:sz="4" w:space="0"/>
            </w:tcBorders>
            <w:vAlign w:val="center"/>
          </w:tcPr>
          <w:p>
            <w:pPr>
              <w:spacing w:line="400" w:lineRule="exact"/>
              <w:jc w:val="center"/>
              <w:rPr>
                <w:rFonts w:ascii="仿宋" w:hAnsi="仿宋" w:eastAsia="仿宋"/>
                <w:color w:val="000000"/>
                <w:sz w:val="24"/>
              </w:rPr>
            </w:pPr>
            <w:r>
              <w:rPr>
                <w:rFonts w:ascii="仿宋" w:hAnsi="仿宋" w:eastAsia="仿宋"/>
                <w:color w:val="000000"/>
                <w:sz w:val="24"/>
              </w:rPr>
              <w:t>2</w:t>
            </w:r>
          </w:p>
        </w:tc>
        <w:tc>
          <w:tcPr>
            <w:tcW w:w="1192" w:type="dxa"/>
            <w:tcBorders>
              <w:top w:val="single" w:color="auto" w:sz="4" w:space="0"/>
              <w:left w:val="nil"/>
              <w:bottom w:val="single" w:color="000000" w:sz="4" w:space="0"/>
              <w:right w:val="single" w:color="auto" w:sz="4" w:space="0"/>
            </w:tcBorders>
            <w:vAlign w:val="center"/>
          </w:tcPr>
          <w:p>
            <w:pPr>
              <w:spacing w:line="400" w:lineRule="exact"/>
              <w:jc w:val="center"/>
              <w:rPr>
                <w:rFonts w:ascii="仿宋" w:hAnsi="仿宋" w:eastAsia="仿宋"/>
                <w:color w:val="000000"/>
                <w:sz w:val="24"/>
              </w:rPr>
            </w:pPr>
            <w:r>
              <w:rPr>
                <w:rFonts w:ascii="仿宋" w:hAnsi="仿宋" w:eastAsia="仿宋"/>
                <w:color w:val="000000"/>
                <w:sz w:val="24"/>
              </w:rPr>
              <w:t>2</w:t>
            </w:r>
          </w:p>
        </w:tc>
        <w:tc>
          <w:tcPr>
            <w:tcW w:w="1193" w:type="dxa"/>
            <w:tcBorders>
              <w:top w:val="single" w:color="auto" w:sz="4" w:space="0"/>
              <w:left w:val="nil"/>
              <w:bottom w:val="single" w:color="000000" w:sz="4" w:space="0"/>
              <w:right w:val="single" w:color="auto" w:sz="4" w:space="0"/>
            </w:tcBorders>
            <w:vAlign w:val="center"/>
          </w:tcPr>
          <w:p>
            <w:pPr>
              <w:spacing w:line="400" w:lineRule="exact"/>
              <w:jc w:val="center"/>
              <w:rPr>
                <w:rFonts w:ascii="仿宋" w:hAnsi="仿宋" w:eastAsia="仿宋"/>
                <w:color w:val="000000"/>
                <w:sz w:val="24"/>
              </w:rPr>
            </w:pPr>
            <w:r>
              <w:rPr>
                <w:rFonts w:ascii="仿宋" w:hAnsi="仿宋" w:eastAsia="仿宋"/>
                <w:color w:val="000000"/>
                <w:sz w:val="24"/>
              </w:rPr>
              <w:t>3</w:t>
            </w:r>
          </w:p>
        </w:tc>
        <w:tc>
          <w:tcPr>
            <w:tcW w:w="1197" w:type="dxa"/>
            <w:tcBorders>
              <w:top w:val="single" w:color="auto" w:sz="4" w:space="0"/>
              <w:left w:val="nil"/>
              <w:bottom w:val="single" w:color="000000" w:sz="4" w:space="0"/>
              <w:right w:val="single" w:color="auto" w:sz="4" w:space="0"/>
            </w:tcBorders>
            <w:vAlign w:val="center"/>
          </w:tcPr>
          <w:p>
            <w:pPr>
              <w:spacing w:line="400" w:lineRule="exact"/>
              <w:jc w:val="center"/>
              <w:rPr>
                <w:rFonts w:ascii="仿宋" w:hAnsi="仿宋" w:eastAsia="仿宋"/>
                <w:color w:val="000000"/>
                <w:sz w:val="24"/>
              </w:rPr>
            </w:pPr>
            <w:r>
              <w:rPr>
                <w:rFonts w:ascii="仿宋" w:hAnsi="仿宋" w:eastAsia="仿宋"/>
                <w:color w:val="000000"/>
                <w:sz w:val="24"/>
              </w:rPr>
              <w:t>3</w:t>
            </w:r>
          </w:p>
        </w:tc>
        <w:tc>
          <w:tcPr>
            <w:tcW w:w="1193" w:type="dxa"/>
            <w:tcBorders>
              <w:top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sz w:val="24"/>
              </w:rPr>
            </w:pPr>
            <w:r>
              <w:rPr>
                <w:rFonts w:ascii="仿宋" w:hAnsi="仿宋" w:eastAsia="仿宋"/>
                <w:color w:val="000000"/>
                <w:sz w:val="24"/>
              </w:rPr>
              <w:t>12</w:t>
            </w:r>
          </w:p>
        </w:tc>
      </w:tr>
      <w:tr>
        <w:tblPrEx>
          <w:tblLayout w:type="fixed"/>
          <w:tblCellMar>
            <w:top w:w="0" w:type="dxa"/>
            <w:left w:w="108" w:type="dxa"/>
            <w:bottom w:w="0" w:type="dxa"/>
            <w:right w:w="108" w:type="dxa"/>
          </w:tblCellMar>
        </w:tblPrEx>
        <w:trPr>
          <w:trHeight w:val="23" w:hRule="atLeast"/>
          <w:jc w:val="center"/>
        </w:trPr>
        <w:tc>
          <w:tcPr>
            <w:tcW w:w="1921" w:type="dxa"/>
            <w:tcBorders>
              <w:top w:val="single" w:color="auto" w:sz="4" w:space="0"/>
              <w:left w:val="single" w:color="auto" w:sz="4" w:space="0"/>
              <w:bottom w:val="single" w:color="000000" w:sz="4" w:space="0"/>
              <w:right w:val="single" w:color="auto" w:sz="4" w:space="0"/>
            </w:tcBorders>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一级期刊（含人大复印资料）</w:t>
            </w:r>
          </w:p>
        </w:tc>
        <w:tc>
          <w:tcPr>
            <w:tcW w:w="1192" w:type="dxa"/>
            <w:tcBorders>
              <w:top w:val="single" w:color="auto" w:sz="4" w:space="0"/>
              <w:left w:val="nil"/>
              <w:bottom w:val="single" w:color="000000" w:sz="4" w:space="0"/>
              <w:right w:val="single" w:color="auto" w:sz="4" w:space="0"/>
            </w:tcBorders>
            <w:vAlign w:val="center"/>
          </w:tcPr>
          <w:p>
            <w:pPr>
              <w:spacing w:line="400" w:lineRule="exact"/>
              <w:jc w:val="center"/>
              <w:rPr>
                <w:rFonts w:ascii="仿宋" w:hAnsi="仿宋" w:eastAsia="仿宋"/>
                <w:color w:val="000000"/>
                <w:sz w:val="24"/>
              </w:rPr>
            </w:pPr>
            <w:r>
              <w:rPr>
                <w:rFonts w:ascii="仿宋" w:hAnsi="仿宋" w:eastAsia="仿宋"/>
                <w:color w:val="000000"/>
                <w:sz w:val="24"/>
              </w:rPr>
              <w:t>2</w:t>
            </w:r>
          </w:p>
        </w:tc>
        <w:tc>
          <w:tcPr>
            <w:tcW w:w="1193" w:type="dxa"/>
            <w:tcBorders>
              <w:top w:val="single" w:color="auto" w:sz="4" w:space="0"/>
              <w:left w:val="nil"/>
              <w:bottom w:val="single" w:color="000000" w:sz="4" w:space="0"/>
              <w:right w:val="single" w:color="auto" w:sz="4" w:space="0"/>
            </w:tcBorders>
            <w:vAlign w:val="center"/>
          </w:tcPr>
          <w:p>
            <w:pPr>
              <w:spacing w:line="400" w:lineRule="exact"/>
              <w:jc w:val="center"/>
              <w:rPr>
                <w:rFonts w:ascii="仿宋" w:hAnsi="仿宋" w:eastAsia="仿宋"/>
                <w:color w:val="000000"/>
                <w:sz w:val="24"/>
              </w:rPr>
            </w:pPr>
            <w:r>
              <w:rPr>
                <w:rFonts w:ascii="仿宋" w:hAnsi="仿宋" w:eastAsia="仿宋"/>
                <w:color w:val="000000"/>
                <w:sz w:val="24"/>
              </w:rPr>
              <w:t>2</w:t>
            </w:r>
          </w:p>
        </w:tc>
        <w:tc>
          <w:tcPr>
            <w:tcW w:w="1192" w:type="dxa"/>
            <w:tcBorders>
              <w:top w:val="single" w:color="auto" w:sz="4" w:space="0"/>
              <w:left w:val="nil"/>
              <w:bottom w:val="single" w:color="000000" w:sz="4" w:space="0"/>
              <w:right w:val="single" w:color="auto" w:sz="4" w:space="0"/>
            </w:tcBorders>
            <w:vAlign w:val="center"/>
          </w:tcPr>
          <w:p>
            <w:pPr>
              <w:spacing w:line="400" w:lineRule="exact"/>
              <w:jc w:val="center"/>
              <w:rPr>
                <w:rFonts w:ascii="仿宋" w:hAnsi="仿宋" w:eastAsia="仿宋"/>
                <w:color w:val="000000"/>
                <w:sz w:val="24"/>
              </w:rPr>
            </w:pPr>
            <w:r>
              <w:rPr>
                <w:rFonts w:ascii="仿宋" w:hAnsi="仿宋" w:eastAsia="仿宋"/>
                <w:color w:val="000000"/>
                <w:sz w:val="24"/>
              </w:rPr>
              <w:t>3</w:t>
            </w:r>
          </w:p>
        </w:tc>
        <w:tc>
          <w:tcPr>
            <w:tcW w:w="1193" w:type="dxa"/>
            <w:tcBorders>
              <w:top w:val="single" w:color="auto" w:sz="4" w:space="0"/>
              <w:left w:val="nil"/>
              <w:bottom w:val="single" w:color="000000" w:sz="4" w:space="0"/>
              <w:right w:val="single" w:color="auto" w:sz="4" w:space="0"/>
            </w:tcBorders>
            <w:vAlign w:val="center"/>
          </w:tcPr>
          <w:p>
            <w:pPr>
              <w:spacing w:line="400" w:lineRule="exact"/>
              <w:jc w:val="center"/>
              <w:rPr>
                <w:rFonts w:ascii="仿宋" w:hAnsi="仿宋" w:eastAsia="仿宋"/>
                <w:color w:val="000000"/>
                <w:sz w:val="24"/>
              </w:rPr>
            </w:pPr>
            <w:r>
              <w:rPr>
                <w:rFonts w:ascii="仿宋" w:hAnsi="仿宋" w:eastAsia="仿宋"/>
                <w:color w:val="000000"/>
                <w:sz w:val="24"/>
              </w:rPr>
              <w:t>4</w:t>
            </w:r>
          </w:p>
        </w:tc>
        <w:tc>
          <w:tcPr>
            <w:tcW w:w="1197" w:type="dxa"/>
            <w:tcBorders>
              <w:top w:val="single" w:color="auto" w:sz="4" w:space="0"/>
              <w:left w:val="nil"/>
              <w:bottom w:val="single" w:color="000000" w:sz="4" w:space="0"/>
              <w:right w:val="single" w:color="auto" w:sz="4" w:space="0"/>
            </w:tcBorders>
            <w:vAlign w:val="center"/>
          </w:tcPr>
          <w:p>
            <w:pPr>
              <w:spacing w:line="400" w:lineRule="exact"/>
              <w:jc w:val="center"/>
              <w:rPr>
                <w:rFonts w:ascii="仿宋" w:hAnsi="仿宋" w:eastAsia="仿宋"/>
                <w:color w:val="000000"/>
                <w:sz w:val="24"/>
              </w:rPr>
            </w:pPr>
            <w:r>
              <w:rPr>
                <w:rFonts w:ascii="仿宋" w:hAnsi="仿宋" w:eastAsia="仿宋"/>
                <w:color w:val="000000"/>
                <w:sz w:val="24"/>
              </w:rPr>
              <w:t>4</w:t>
            </w:r>
          </w:p>
        </w:tc>
        <w:tc>
          <w:tcPr>
            <w:tcW w:w="1193" w:type="dxa"/>
            <w:tcBorders>
              <w:top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sz w:val="24"/>
              </w:rPr>
            </w:pPr>
            <w:r>
              <w:rPr>
                <w:rFonts w:ascii="仿宋" w:hAnsi="仿宋" w:eastAsia="仿宋"/>
                <w:color w:val="000000"/>
                <w:sz w:val="24"/>
              </w:rPr>
              <w:t>15</w:t>
            </w:r>
          </w:p>
        </w:tc>
      </w:tr>
      <w:tr>
        <w:tblPrEx>
          <w:tblLayout w:type="fixed"/>
          <w:tblCellMar>
            <w:top w:w="0" w:type="dxa"/>
            <w:left w:w="108" w:type="dxa"/>
            <w:bottom w:w="0" w:type="dxa"/>
            <w:right w:w="108" w:type="dxa"/>
          </w:tblCellMar>
        </w:tblPrEx>
        <w:trPr>
          <w:trHeight w:val="585" w:hRule="atLeast"/>
          <w:jc w:val="center"/>
        </w:trPr>
        <w:tc>
          <w:tcPr>
            <w:tcW w:w="1921" w:type="dxa"/>
            <w:tcBorders>
              <w:top w:val="single" w:color="000000"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sz w:val="24"/>
              </w:rPr>
            </w:pPr>
            <w:r>
              <w:rPr>
                <w:rFonts w:ascii="仿宋" w:hAnsi="仿宋" w:eastAsia="仿宋"/>
                <w:color w:val="000000"/>
                <w:sz w:val="24"/>
              </w:rPr>
              <w:t>CSSCI</w:t>
            </w:r>
            <w:r>
              <w:rPr>
                <w:rFonts w:hint="eastAsia" w:ascii="仿宋" w:hAnsi="仿宋" w:eastAsia="仿宋"/>
                <w:color w:val="000000"/>
                <w:sz w:val="24"/>
              </w:rPr>
              <w:t>索引论文</w:t>
            </w:r>
          </w:p>
        </w:tc>
        <w:tc>
          <w:tcPr>
            <w:tcW w:w="1192" w:type="dxa"/>
            <w:tcBorders>
              <w:top w:val="single" w:color="000000" w:sz="4" w:space="0"/>
              <w:left w:val="nil"/>
              <w:bottom w:val="single" w:color="000000" w:sz="4" w:space="0"/>
              <w:right w:val="single" w:color="auto" w:sz="4" w:space="0"/>
            </w:tcBorders>
            <w:vAlign w:val="center"/>
          </w:tcPr>
          <w:p>
            <w:pPr>
              <w:spacing w:line="400" w:lineRule="exact"/>
              <w:jc w:val="center"/>
              <w:rPr>
                <w:rFonts w:ascii="仿宋" w:hAnsi="仿宋" w:eastAsia="仿宋"/>
                <w:color w:val="000000"/>
                <w:sz w:val="24"/>
              </w:rPr>
            </w:pPr>
            <w:r>
              <w:rPr>
                <w:rFonts w:ascii="仿宋" w:hAnsi="仿宋" w:eastAsia="仿宋"/>
                <w:color w:val="000000"/>
                <w:sz w:val="24"/>
              </w:rPr>
              <w:t>2</w:t>
            </w:r>
          </w:p>
        </w:tc>
        <w:tc>
          <w:tcPr>
            <w:tcW w:w="1193" w:type="dxa"/>
            <w:tcBorders>
              <w:top w:val="single" w:color="000000" w:sz="4" w:space="0"/>
              <w:left w:val="nil"/>
              <w:bottom w:val="single" w:color="000000" w:sz="4" w:space="0"/>
              <w:right w:val="single" w:color="auto" w:sz="4" w:space="0"/>
            </w:tcBorders>
            <w:vAlign w:val="center"/>
          </w:tcPr>
          <w:p>
            <w:pPr>
              <w:spacing w:line="400" w:lineRule="exact"/>
              <w:jc w:val="center"/>
              <w:rPr>
                <w:rFonts w:ascii="仿宋" w:hAnsi="仿宋" w:eastAsia="仿宋"/>
                <w:color w:val="000000"/>
                <w:sz w:val="24"/>
              </w:rPr>
            </w:pPr>
            <w:r>
              <w:rPr>
                <w:rFonts w:ascii="仿宋" w:hAnsi="仿宋" w:eastAsia="仿宋"/>
                <w:color w:val="000000"/>
                <w:sz w:val="24"/>
              </w:rPr>
              <w:t>3</w:t>
            </w:r>
          </w:p>
        </w:tc>
        <w:tc>
          <w:tcPr>
            <w:tcW w:w="1192" w:type="dxa"/>
            <w:tcBorders>
              <w:top w:val="single" w:color="000000" w:sz="4" w:space="0"/>
              <w:left w:val="nil"/>
              <w:bottom w:val="single" w:color="000000" w:sz="4" w:space="0"/>
              <w:right w:val="single" w:color="auto" w:sz="4" w:space="0"/>
            </w:tcBorders>
            <w:vAlign w:val="center"/>
          </w:tcPr>
          <w:p>
            <w:pPr>
              <w:spacing w:line="400" w:lineRule="exact"/>
              <w:jc w:val="center"/>
              <w:rPr>
                <w:rFonts w:ascii="仿宋" w:hAnsi="仿宋" w:eastAsia="仿宋"/>
                <w:color w:val="000000"/>
                <w:sz w:val="24"/>
              </w:rPr>
            </w:pPr>
            <w:r>
              <w:rPr>
                <w:rFonts w:ascii="仿宋" w:hAnsi="仿宋" w:eastAsia="仿宋"/>
                <w:color w:val="000000"/>
                <w:sz w:val="24"/>
              </w:rPr>
              <w:t>4</w:t>
            </w:r>
          </w:p>
        </w:tc>
        <w:tc>
          <w:tcPr>
            <w:tcW w:w="1193" w:type="dxa"/>
            <w:tcBorders>
              <w:top w:val="single" w:color="000000" w:sz="4" w:space="0"/>
              <w:left w:val="nil"/>
              <w:bottom w:val="single" w:color="000000" w:sz="4" w:space="0"/>
              <w:right w:val="single" w:color="auto" w:sz="4" w:space="0"/>
            </w:tcBorders>
            <w:vAlign w:val="center"/>
          </w:tcPr>
          <w:p>
            <w:pPr>
              <w:spacing w:line="400" w:lineRule="exact"/>
              <w:jc w:val="center"/>
              <w:rPr>
                <w:rFonts w:ascii="仿宋" w:hAnsi="仿宋" w:eastAsia="仿宋"/>
                <w:color w:val="000000"/>
                <w:sz w:val="24"/>
              </w:rPr>
            </w:pPr>
            <w:r>
              <w:rPr>
                <w:rFonts w:ascii="仿宋" w:hAnsi="仿宋" w:eastAsia="仿宋"/>
                <w:color w:val="000000"/>
                <w:sz w:val="24"/>
              </w:rPr>
              <w:t>5</w:t>
            </w:r>
          </w:p>
        </w:tc>
        <w:tc>
          <w:tcPr>
            <w:tcW w:w="1197" w:type="dxa"/>
            <w:tcBorders>
              <w:top w:val="single" w:color="000000" w:sz="4" w:space="0"/>
              <w:left w:val="nil"/>
              <w:bottom w:val="single" w:color="000000" w:sz="4" w:space="0"/>
              <w:right w:val="single" w:color="auto" w:sz="4" w:space="0"/>
            </w:tcBorders>
            <w:vAlign w:val="center"/>
          </w:tcPr>
          <w:p>
            <w:pPr>
              <w:spacing w:line="400" w:lineRule="exact"/>
              <w:jc w:val="center"/>
              <w:rPr>
                <w:rFonts w:ascii="仿宋" w:hAnsi="仿宋" w:eastAsia="仿宋"/>
                <w:color w:val="000000"/>
                <w:sz w:val="24"/>
              </w:rPr>
            </w:pPr>
            <w:r>
              <w:rPr>
                <w:rFonts w:ascii="仿宋" w:hAnsi="仿宋" w:eastAsia="仿宋"/>
                <w:color w:val="000000"/>
                <w:sz w:val="24"/>
              </w:rPr>
              <w:t>6</w:t>
            </w:r>
          </w:p>
        </w:tc>
        <w:tc>
          <w:tcPr>
            <w:tcW w:w="1193" w:type="dxa"/>
            <w:tcBorders>
              <w:top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sz w:val="24"/>
              </w:rPr>
            </w:pPr>
            <w:r>
              <w:rPr>
                <w:rFonts w:ascii="仿宋" w:hAnsi="仿宋" w:eastAsia="仿宋"/>
                <w:color w:val="000000"/>
                <w:sz w:val="24"/>
              </w:rPr>
              <w:t>20</w:t>
            </w:r>
          </w:p>
        </w:tc>
      </w:tr>
      <w:tr>
        <w:tblPrEx>
          <w:tblLayout w:type="fixed"/>
          <w:tblCellMar>
            <w:top w:w="0" w:type="dxa"/>
            <w:left w:w="108" w:type="dxa"/>
            <w:bottom w:w="0" w:type="dxa"/>
            <w:right w:w="108" w:type="dxa"/>
          </w:tblCellMar>
        </w:tblPrEx>
        <w:trPr>
          <w:trHeight w:val="660" w:hRule="atLeast"/>
          <w:jc w:val="center"/>
        </w:trPr>
        <w:tc>
          <w:tcPr>
            <w:tcW w:w="1921" w:type="dxa"/>
            <w:tcBorders>
              <w:top w:val="single" w:color="000000" w:sz="4" w:space="0"/>
              <w:left w:val="single" w:color="auto" w:sz="4" w:space="0"/>
              <w:bottom w:val="single" w:color="000000" w:sz="4" w:space="0"/>
              <w:right w:val="single" w:color="auto" w:sz="4" w:space="0"/>
            </w:tcBorders>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学术专著</w:t>
            </w:r>
          </w:p>
        </w:tc>
        <w:tc>
          <w:tcPr>
            <w:tcW w:w="1192" w:type="dxa"/>
            <w:tcBorders>
              <w:top w:val="single" w:color="000000" w:sz="4" w:space="0"/>
              <w:left w:val="nil"/>
              <w:bottom w:val="single" w:color="auto" w:sz="4" w:space="0"/>
              <w:right w:val="single" w:color="auto" w:sz="4" w:space="0"/>
            </w:tcBorders>
            <w:vAlign w:val="center"/>
          </w:tcPr>
          <w:p>
            <w:pPr>
              <w:spacing w:line="400" w:lineRule="exact"/>
              <w:jc w:val="center"/>
              <w:rPr>
                <w:rFonts w:ascii="仿宋" w:hAnsi="仿宋" w:eastAsia="仿宋"/>
                <w:color w:val="000000"/>
                <w:sz w:val="24"/>
              </w:rPr>
            </w:pPr>
            <w:r>
              <w:rPr>
                <w:rFonts w:ascii="仿宋" w:hAnsi="仿宋" w:eastAsia="仿宋"/>
                <w:color w:val="000000"/>
                <w:sz w:val="24"/>
              </w:rPr>
              <w:t>2</w:t>
            </w:r>
          </w:p>
        </w:tc>
        <w:tc>
          <w:tcPr>
            <w:tcW w:w="1193" w:type="dxa"/>
            <w:tcBorders>
              <w:top w:val="single" w:color="000000" w:sz="4" w:space="0"/>
              <w:left w:val="nil"/>
              <w:bottom w:val="single" w:color="auto" w:sz="4" w:space="0"/>
              <w:right w:val="single" w:color="auto" w:sz="4" w:space="0"/>
            </w:tcBorders>
            <w:vAlign w:val="center"/>
          </w:tcPr>
          <w:p>
            <w:pPr>
              <w:spacing w:line="400" w:lineRule="exact"/>
              <w:jc w:val="center"/>
              <w:rPr>
                <w:rFonts w:ascii="仿宋" w:hAnsi="仿宋" w:eastAsia="仿宋"/>
                <w:color w:val="000000"/>
                <w:sz w:val="24"/>
              </w:rPr>
            </w:pPr>
            <w:r>
              <w:rPr>
                <w:rFonts w:ascii="仿宋" w:hAnsi="仿宋" w:eastAsia="仿宋"/>
                <w:color w:val="000000"/>
                <w:sz w:val="24"/>
              </w:rPr>
              <w:t>3</w:t>
            </w:r>
          </w:p>
        </w:tc>
        <w:tc>
          <w:tcPr>
            <w:tcW w:w="1192" w:type="dxa"/>
            <w:tcBorders>
              <w:top w:val="single" w:color="000000" w:sz="4" w:space="0"/>
              <w:left w:val="nil"/>
              <w:bottom w:val="single" w:color="auto" w:sz="4" w:space="0"/>
              <w:right w:val="single" w:color="auto" w:sz="4" w:space="0"/>
            </w:tcBorders>
            <w:vAlign w:val="center"/>
          </w:tcPr>
          <w:p>
            <w:pPr>
              <w:spacing w:line="400" w:lineRule="exact"/>
              <w:jc w:val="center"/>
              <w:rPr>
                <w:rFonts w:ascii="仿宋" w:hAnsi="仿宋" w:eastAsia="仿宋"/>
                <w:color w:val="000000"/>
                <w:sz w:val="24"/>
              </w:rPr>
            </w:pPr>
            <w:r>
              <w:rPr>
                <w:rFonts w:ascii="仿宋" w:hAnsi="仿宋" w:eastAsia="仿宋"/>
                <w:color w:val="000000"/>
                <w:sz w:val="24"/>
              </w:rPr>
              <w:t>3</w:t>
            </w:r>
          </w:p>
        </w:tc>
        <w:tc>
          <w:tcPr>
            <w:tcW w:w="1193" w:type="dxa"/>
            <w:tcBorders>
              <w:top w:val="single" w:color="000000" w:sz="4" w:space="0"/>
              <w:left w:val="nil"/>
              <w:bottom w:val="single" w:color="auto" w:sz="4" w:space="0"/>
              <w:right w:val="single" w:color="auto" w:sz="4" w:space="0"/>
            </w:tcBorders>
            <w:vAlign w:val="center"/>
          </w:tcPr>
          <w:p>
            <w:pPr>
              <w:spacing w:line="400" w:lineRule="exact"/>
              <w:jc w:val="center"/>
              <w:rPr>
                <w:rFonts w:ascii="仿宋" w:hAnsi="仿宋" w:eastAsia="仿宋"/>
                <w:color w:val="000000"/>
                <w:sz w:val="24"/>
              </w:rPr>
            </w:pPr>
            <w:r>
              <w:rPr>
                <w:rFonts w:ascii="仿宋" w:hAnsi="仿宋" w:eastAsia="仿宋"/>
                <w:color w:val="000000"/>
                <w:sz w:val="24"/>
              </w:rPr>
              <w:t>4</w:t>
            </w:r>
          </w:p>
        </w:tc>
        <w:tc>
          <w:tcPr>
            <w:tcW w:w="1197" w:type="dxa"/>
            <w:tcBorders>
              <w:top w:val="single" w:color="000000" w:sz="4" w:space="0"/>
              <w:left w:val="nil"/>
              <w:bottom w:val="single" w:color="auto" w:sz="4" w:space="0"/>
              <w:right w:val="single" w:color="auto" w:sz="4" w:space="0"/>
            </w:tcBorders>
            <w:vAlign w:val="center"/>
          </w:tcPr>
          <w:p>
            <w:pPr>
              <w:spacing w:line="400" w:lineRule="exact"/>
              <w:jc w:val="center"/>
              <w:rPr>
                <w:rFonts w:ascii="仿宋" w:hAnsi="仿宋" w:eastAsia="仿宋"/>
                <w:color w:val="000000"/>
                <w:sz w:val="24"/>
              </w:rPr>
            </w:pPr>
            <w:r>
              <w:rPr>
                <w:rFonts w:ascii="仿宋" w:hAnsi="仿宋" w:eastAsia="仿宋"/>
                <w:color w:val="000000"/>
                <w:sz w:val="24"/>
              </w:rPr>
              <w:t>5</w:t>
            </w:r>
          </w:p>
        </w:tc>
        <w:tc>
          <w:tcPr>
            <w:tcW w:w="1193" w:type="dxa"/>
            <w:tcBorders>
              <w:top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sz w:val="24"/>
              </w:rPr>
            </w:pPr>
            <w:r>
              <w:rPr>
                <w:rFonts w:ascii="仿宋" w:hAnsi="仿宋" w:eastAsia="仿宋"/>
                <w:color w:val="000000"/>
                <w:sz w:val="24"/>
              </w:rPr>
              <w:t>17</w:t>
            </w:r>
          </w:p>
        </w:tc>
      </w:tr>
      <w:tr>
        <w:tblPrEx>
          <w:tblLayout w:type="fixed"/>
          <w:tblCellMar>
            <w:top w:w="0" w:type="dxa"/>
            <w:left w:w="108" w:type="dxa"/>
            <w:bottom w:w="0" w:type="dxa"/>
            <w:right w:w="108" w:type="dxa"/>
          </w:tblCellMar>
        </w:tblPrEx>
        <w:trPr>
          <w:trHeight w:val="23" w:hRule="atLeast"/>
          <w:jc w:val="center"/>
        </w:trPr>
        <w:tc>
          <w:tcPr>
            <w:tcW w:w="1921" w:type="dxa"/>
            <w:tcBorders>
              <w:top w:val="single" w:color="000000"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省部级科研奖励（项）</w:t>
            </w:r>
          </w:p>
        </w:tc>
        <w:tc>
          <w:tcPr>
            <w:tcW w:w="5967" w:type="dxa"/>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olor w:val="000000"/>
                <w:sz w:val="24"/>
              </w:rPr>
            </w:pPr>
            <w:r>
              <w:rPr>
                <w:rFonts w:ascii="仿宋" w:hAnsi="仿宋" w:eastAsia="仿宋"/>
                <w:color w:val="000000"/>
                <w:sz w:val="24"/>
              </w:rPr>
              <w:t>2-3</w:t>
            </w:r>
          </w:p>
        </w:tc>
        <w:tc>
          <w:tcPr>
            <w:tcW w:w="1193" w:type="dxa"/>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olor w:val="000000"/>
                <w:sz w:val="24"/>
              </w:rPr>
            </w:pPr>
            <w:r>
              <w:rPr>
                <w:rFonts w:ascii="仿宋" w:hAnsi="仿宋" w:eastAsia="仿宋"/>
                <w:color w:val="000000"/>
                <w:sz w:val="24"/>
              </w:rPr>
              <w:t>2-3</w:t>
            </w:r>
          </w:p>
        </w:tc>
      </w:tr>
    </w:tbl>
    <w:p>
      <w:pPr>
        <w:pStyle w:val="2"/>
        <w:spacing w:before="312" w:after="156" w:line="560" w:lineRule="exact"/>
        <w:ind w:firstLine="723" w:firstLineChars="200"/>
        <w:rPr>
          <w:rFonts w:ascii="仿宋" w:hAnsi="仿宋" w:eastAsia="仿宋" w:cs="黑体"/>
          <w:bCs/>
          <w:szCs w:val="36"/>
        </w:rPr>
        <w:sectPr>
          <w:footerReference r:id="rId3" w:type="default"/>
          <w:pgSz w:w="11906" w:h="16838"/>
          <w:pgMar w:top="1440" w:right="1800" w:bottom="1440" w:left="1800" w:header="851" w:footer="992" w:gutter="0"/>
          <w:pgNumType w:chapStyle="2"/>
          <w:cols w:space="425" w:num="1"/>
          <w:docGrid w:type="lines" w:linePitch="312" w:charSpace="0"/>
        </w:sectPr>
      </w:pPr>
    </w:p>
    <w:p>
      <w:pPr>
        <w:spacing w:line="560" w:lineRule="exact"/>
        <w:ind w:firstLine="420" w:firstLineChars="200"/>
        <w:rPr>
          <w:rFonts w:ascii="仿宋" w:hAnsi="仿宋" w:eastAsia="仿宋"/>
        </w:rPr>
      </w:pPr>
      <w:bookmarkStart w:id="2" w:name="_GoBack"/>
      <w:bookmarkEnd w:id="2"/>
    </w:p>
    <w:sectPr>
      <w:pgSz w:w="11906" w:h="16838"/>
      <w:pgMar w:top="1440" w:right="1800" w:bottom="1440" w:left="1800" w:header="851" w:footer="992" w:gutter="0"/>
      <w:pgNumType w:chapStyle="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Tahoma">
    <w:panose1 w:val="020B0604030504040204"/>
    <w:charset w:val="00"/>
    <w:family w:val="roman"/>
    <w:pitch w:val="default"/>
    <w:sig w:usb0="E1002EFF" w:usb1="C000605B" w:usb2="00000029" w:usb3="00000000" w:csb0="200101FF" w:csb1="20280000"/>
  </w:font>
  <w:font w:name="仿宋">
    <w:panose1 w:val="02010609060101010101"/>
    <w:charset w:val="86"/>
    <w:family w:val="decorative"/>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Times">
    <w:altName w:val="Times New Roman"/>
    <w:panose1 w:val="02020603050405020304"/>
    <w:charset w:val="00"/>
    <w:family w:val="swiss"/>
    <w:pitch w:val="default"/>
    <w:sig w:usb0="00000000" w:usb1="00000000" w:usb2="00000000" w:usb3="00000000" w:csb0="00000000" w:csb1="00000000"/>
  </w:font>
  <w:font w:name="Helvetica">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roma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26</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1jjZ2rgBAABeAwAADgAAAAAAAAABACAAAAAeAQAAZHJzL2Uyb0RvYy54bWxQSwUGAAAAAAYABgBZ&#10;AQAASAUAAAAA&#10;">
              <v:fill on="f" focussize="0,0"/>
              <v:stroke on="f" joinstyle="miter"/>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26</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8F"/>
    <w:rsid w:val="00101306"/>
    <w:rsid w:val="001925A8"/>
    <w:rsid w:val="001A48DC"/>
    <w:rsid w:val="00204187"/>
    <w:rsid w:val="00231204"/>
    <w:rsid w:val="002A0086"/>
    <w:rsid w:val="002E31EA"/>
    <w:rsid w:val="002F242D"/>
    <w:rsid w:val="00335D09"/>
    <w:rsid w:val="00367EB0"/>
    <w:rsid w:val="00384D94"/>
    <w:rsid w:val="00394411"/>
    <w:rsid w:val="00451AF3"/>
    <w:rsid w:val="0053144B"/>
    <w:rsid w:val="0055176E"/>
    <w:rsid w:val="005F0A69"/>
    <w:rsid w:val="00612556"/>
    <w:rsid w:val="006668EC"/>
    <w:rsid w:val="00692DB6"/>
    <w:rsid w:val="006D6A9D"/>
    <w:rsid w:val="006E5180"/>
    <w:rsid w:val="007029E0"/>
    <w:rsid w:val="007366A6"/>
    <w:rsid w:val="007556A2"/>
    <w:rsid w:val="007B19B0"/>
    <w:rsid w:val="007E0303"/>
    <w:rsid w:val="00870781"/>
    <w:rsid w:val="008A301B"/>
    <w:rsid w:val="008C491F"/>
    <w:rsid w:val="009070E2"/>
    <w:rsid w:val="00937ED7"/>
    <w:rsid w:val="009423E4"/>
    <w:rsid w:val="00945D57"/>
    <w:rsid w:val="00960D4A"/>
    <w:rsid w:val="00992FA1"/>
    <w:rsid w:val="00995AAD"/>
    <w:rsid w:val="0099799E"/>
    <w:rsid w:val="009B3B4D"/>
    <w:rsid w:val="009D4B9D"/>
    <w:rsid w:val="009F62C5"/>
    <w:rsid w:val="00A02210"/>
    <w:rsid w:val="00A317D6"/>
    <w:rsid w:val="00A34367"/>
    <w:rsid w:val="00A36FA9"/>
    <w:rsid w:val="00A448BD"/>
    <w:rsid w:val="00A62E44"/>
    <w:rsid w:val="00AC633A"/>
    <w:rsid w:val="00AE570F"/>
    <w:rsid w:val="00AF0EE4"/>
    <w:rsid w:val="00B21F6B"/>
    <w:rsid w:val="00C27C8F"/>
    <w:rsid w:val="00C30EEA"/>
    <w:rsid w:val="00C66500"/>
    <w:rsid w:val="00C94136"/>
    <w:rsid w:val="00C978EC"/>
    <w:rsid w:val="00D00CE3"/>
    <w:rsid w:val="00D61CF3"/>
    <w:rsid w:val="00D84223"/>
    <w:rsid w:val="00E15748"/>
    <w:rsid w:val="00E5248F"/>
    <w:rsid w:val="00E7589B"/>
    <w:rsid w:val="00E9294F"/>
    <w:rsid w:val="00EE0EF1"/>
    <w:rsid w:val="00EF4BAC"/>
    <w:rsid w:val="00F31FC6"/>
    <w:rsid w:val="00F51017"/>
    <w:rsid w:val="00F51727"/>
    <w:rsid w:val="06A744C3"/>
    <w:rsid w:val="1B5473DD"/>
    <w:rsid w:val="2DB765AB"/>
    <w:rsid w:val="38936FA8"/>
    <w:rsid w:val="3DEE34E0"/>
    <w:rsid w:val="3EF04D99"/>
    <w:rsid w:val="5B7837AE"/>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3"/>
    <w:qFormat/>
    <w:uiPriority w:val="99"/>
    <w:pPr>
      <w:keepNext/>
      <w:keepLines/>
      <w:spacing w:beforeLines="100" w:afterLines="50"/>
      <w:jc w:val="center"/>
      <w:outlineLvl w:val="0"/>
    </w:pPr>
    <w:rPr>
      <w:b/>
      <w:kern w:val="44"/>
      <w:sz w:val="36"/>
    </w:rPr>
  </w:style>
  <w:style w:type="character" w:default="1" w:styleId="9">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link w:val="14"/>
    <w:qFormat/>
    <w:uiPriority w:val="99"/>
    <w:pPr>
      <w:widowControl/>
      <w:spacing w:after="120" w:line="560" w:lineRule="exact"/>
      <w:ind w:firstLine="350" w:firstLineChars="350"/>
    </w:pPr>
    <w:rPr>
      <w:szCs w:val="20"/>
    </w:rPr>
  </w:style>
  <w:style w:type="paragraph" w:styleId="4">
    <w:name w:val="Body Text Indent"/>
    <w:basedOn w:val="1"/>
    <w:link w:val="15"/>
    <w:qFormat/>
    <w:uiPriority w:val="99"/>
    <w:pPr>
      <w:widowControl/>
      <w:spacing w:line="560" w:lineRule="exact"/>
      <w:ind w:firstLine="410" w:firstLineChars="171"/>
    </w:pPr>
    <w:rPr>
      <w:sz w:val="24"/>
    </w:rPr>
  </w:style>
  <w:style w:type="paragraph" w:styleId="5">
    <w:name w:val="footer"/>
    <w:basedOn w:val="1"/>
    <w:link w:val="16"/>
    <w:uiPriority w:val="99"/>
    <w:pPr>
      <w:tabs>
        <w:tab w:val="center" w:pos="4153"/>
        <w:tab w:val="right" w:pos="8306"/>
      </w:tabs>
      <w:snapToGrid w:val="0"/>
      <w:jc w:val="left"/>
    </w:pPr>
    <w:rPr>
      <w:sz w:val="18"/>
      <w:szCs w:val="18"/>
    </w:rPr>
  </w:style>
  <w:style w:type="paragraph" w:styleId="6">
    <w:name w:val="header"/>
    <w:basedOn w:val="1"/>
    <w:link w:val="17"/>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iPriority w:val="99"/>
  </w:style>
  <w:style w:type="paragraph" w:styleId="8">
    <w:name w:val="Normal (Web)"/>
    <w:basedOn w:val="1"/>
    <w:uiPriority w:val="99"/>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99"/>
    <w:rPr>
      <w:rFonts w:cs="Times New Roman"/>
      <w:b/>
      <w:bCs/>
    </w:rPr>
  </w:style>
  <w:style w:type="character" w:styleId="11">
    <w:name w:val="page number"/>
    <w:basedOn w:val="9"/>
    <w:uiPriority w:val="99"/>
    <w:rPr>
      <w:rFonts w:cs="Times New Roman"/>
    </w:rPr>
  </w:style>
  <w:style w:type="character" w:customStyle="1" w:styleId="13">
    <w:name w:val="标题 1 Char"/>
    <w:basedOn w:val="9"/>
    <w:link w:val="2"/>
    <w:qFormat/>
    <w:uiPriority w:val="9"/>
    <w:rPr>
      <w:rFonts w:eastAsia="宋体"/>
      <w:b/>
      <w:bCs/>
      <w:kern w:val="44"/>
      <w:sz w:val="36"/>
      <w:szCs w:val="44"/>
    </w:rPr>
  </w:style>
  <w:style w:type="character" w:customStyle="1" w:styleId="14">
    <w:name w:val="正文文本 Char"/>
    <w:basedOn w:val="9"/>
    <w:link w:val="3"/>
    <w:semiHidden/>
    <w:qFormat/>
    <w:uiPriority w:val="99"/>
    <w:rPr>
      <w:szCs w:val="24"/>
    </w:rPr>
  </w:style>
  <w:style w:type="character" w:customStyle="1" w:styleId="15">
    <w:name w:val="正文文本缩进 Char"/>
    <w:basedOn w:val="9"/>
    <w:link w:val="4"/>
    <w:semiHidden/>
    <w:qFormat/>
    <w:uiPriority w:val="99"/>
    <w:rPr>
      <w:szCs w:val="24"/>
    </w:rPr>
  </w:style>
  <w:style w:type="character" w:customStyle="1" w:styleId="16">
    <w:name w:val="页脚 Char"/>
    <w:basedOn w:val="9"/>
    <w:link w:val="5"/>
    <w:semiHidden/>
    <w:uiPriority w:val="99"/>
    <w:rPr>
      <w:sz w:val="18"/>
      <w:szCs w:val="18"/>
    </w:rPr>
  </w:style>
  <w:style w:type="character" w:customStyle="1" w:styleId="17">
    <w:name w:val="页眉 Char"/>
    <w:basedOn w:val="9"/>
    <w:link w:val="6"/>
    <w:semiHidden/>
    <w:qFormat/>
    <w:uiPriority w:val="99"/>
    <w:rPr>
      <w:sz w:val="18"/>
      <w:szCs w:val="18"/>
    </w:rPr>
  </w:style>
  <w:style w:type="paragraph" w:customStyle="1" w:styleId="18">
    <w:name w:val="普通(网站)1"/>
    <w:basedOn w:val="1"/>
    <w:uiPriority w:val="99"/>
    <w:pPr>
      <w:widowControl/>
      <w:spacing w:before="100" w:beforeAutospacing="1" w:after="100" w:afterAutospacing="1" w:line="360" w:lineRule="auto"/>
      <w:ind w:firstLine="350" w:firstLineChars="350"/>
      <w:jc w:val="left"/>
      <w:textAlignment w:val="center"/>
    </w:pPr>
    <w:rPr>
      <w:rFonts w:ascii="Tahoma" w:hAnsi="Tahoma"/>
      <w:sz w:val="1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36</Pages>
  <Words>3085</Words>
  <Characters>17587</Characters>
  <Lines>146</Lines>
  <Paragraphs>41</Paragraphs>
  <ScaleCrop>false</ScaleCrop>
  <LinksUpToDate>false</LinksUpToDate>
  <CharactersWithSpaces>20631</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sxdn</cp:lastModifiedBy>
  <dcterms:modified xsi:type="dcterms:W3CDTF">2017-04-21T07:43:51Z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